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В результате прокурорского вмешательства в Иркутской области пресечено незаконное пользование водным объектов</w:t>
      </w:r>
    </w:p>
    <w:p>
      <w:pPr>
        <w:pStyle w:val="BodyText"/>
        <w:ind w:left="0" w:right="0" w:firstLine="0"/>
        <w:jc w:val="left"/>
        <w:rPr>
          <w:b/>
        </w:rPr>
      </w:pPr>
    </w:p>
    <w:p>
      <w:pPr>
        <w:pStyle w:val="BodyText"/>
        <w:ind w:right="140"/>
      </w:pPr>
      <w:r>
        <w:rPr/>
        <w:t>Западно-Байкальской межрайонной природоохранной прокуратурой проведена проверка исполнения водного законодательства.</w:t>
      </w:r>
    </w:p>
    <w:p>
      <w:pPr>
        <w:pStyle w:val="BodyText"/>
      </w:pPr>
      <w:r>
        <w:rPr/>
        <w:t>Установлено, что организацией проведены работы по монтажу причального сооружения на забивных сваях в акватории Иркутского водохранилища в отсутствие решения о предоставлении водного объекта в пользование, а также с нарушением положительного заключения о согласовании деятельности с органом Росрыболовства.</w:t>
      </w:r>
    </w:p>
    <w:p>
      <w:pPr>
        <w:pStyle w:val="BodyText"/>
      </w:pPr>
      <w:r>
        <w:rPr/>
        <w:t>В целях устранения нарушений прокурор обратился в суд с исковым заявлением к хозяйствующему субъекту о возложении обязанности демонтировать незаконное </w:t>
      </w:r>
      <w:r>
        <w:rPr>
          <w:spacing w:val="-2"/>
        </w:rPr>
        <w:t>сооружение.</w:t>
      </w:r>
    </w:p>
    <w:p>
      <w:pPr>
        <w:pStyle w:val="BodyText"/>
      </w:pPr>
      <w:r>
        <w:rPr/>
        <w:t>По результатам судебного рассмотрения требования прокурора удовлетворены, исполнение судебного акта находится под контролем природоохранной прокуратуры.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40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2025-06-25T03:37:21Z</dcterms:created>
  <dcterms:modified xsi:type="dcterms:W3CDTF">2025-06-25T03:37:21Z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