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EC050B">
      <w:r>
        <w:fldChar w:fldCharType="begin"/>
      </w:r>
      <w:r>
        <w:instrText xml:space="preserve"> HYPERLINK "https://www.irkraion.ru/images/content/normotvorchestvo/2021/290%D0%9F%D0%BE%D1%81%D1%82_%D0%BE_%D1%84%D0%BE%D1%80%D0%BC%D0%B0%D1%85_%D0%BF%D0%BE%D0%B4_%D0%A1%D0%9C%D0%A1%D0%9F__290.zip"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31 мая 2021 г. № 290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>б утверждении Положений о мерах поддержки субъектов малого и среднего предпринимательства, организаций, образующих инфраструктуру поддержки субъектов малого и среднего предпринимательства, и физических лиц, не являющихся индивидуальными предпринимателями и применяющими специальный налоговый режим «Налог на профессиональный доход», на территории Иркутского районного муниципального образования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50B"/>
    <w:rsid w:val="00547A8F"/>
    <w:rsid w:val="00BD7221"/>
    <w:rsid w:val="00EC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EC05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EC05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2025-04-10T07:35:00Z</dcterms:created>
  <dcterms:modified xsi:type="dcterms:W3CDTF">2025-04-10T07:36:00Z</dcterms:modified>
</cp:coreProperties>
</file>