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908" w:rsidRPr="00BD7908" w:rsidRDefault="00BD7908" w:rsidP="00BD7908">
      <w:pPr>
        <w:rPr>
          <w:rFonts w:ascii="Arial" w:hAnsi="Arial" w:cs="Arial"/>
          <w:sz w:val="36"/>
          <w:szCs w:val="36"/>
        </w:rPr>
      </w:pPr>
      <w:r w:rsidRPr="00BD7908">
        <w:rPr>
          <w:rFonts w:ascii="Arial" w:hAnsi="Arial" w:cs="Arial"/>
          <w:sz w:val="36"/>
          <w:szCs w:val="36"/>
        </w:rPr>
        <w:t>Туристический налог заменит курортный сбор.</w:t>
      </w:r>
      <w:bookmarkStart w:id="0" w:name="_GoBack"/>
      <w:bookmarkEnd w:id="0"/>
    </w:p>
    <w:p w:rsidR="00BD7908" w:rsidRPr="00BD7908" w:rsidRDefault="00BD7908" w:rsidP="00BD79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D7908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Туристический налог - это новый обязательный платеж с выручки от гостиничной деятельности, который с 2025 года заменит курортный сбор, действующий на территории ряда субъектов Российской Федерации. Соответствующие поправки в НК РФ уже внесены (глава </w:t>
      </w:r>
      <w:hyperlink r:id="rId4" w:tgtFrame="_blank" w:history="1">
        <w:r w:rsidRPr="00BD7908">
          <w:rPr>
            <w:rFonts w:ascii="Arial" w:eastAsia="Times New Roman" w:hAnsi="Arial" w:cs="Arial"/>
            <w:color w:val="0066B3"/>
            <w:sz w:val="24"/>
            <w:szCs w:val="24"/>
            <w:lang w:eastAsia="ru-RU"/>
          </w:rPr>
          <w:t>33.1</w:t>
        </w:r>
      </w:hyperlink>
      <w:r w:rsidRPr="00BD7908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). В Иркутской области город Усолье - Сибирское стал первым, где установлен данный платеж.</w:t>
      </w:r>
    </w:p>
    <w:p w:rsidR="00BD7908" w:rsidRPr="00BD7908" w:rsidRDefault="00BD7908" w:rsidP="00BD7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908" w:rsidRPr="00BD7908" w:rsidRDefault="00BD7908" w:rsidP="00BD79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D7908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Решение о введении туристического налога, а также конкретный размер ставки (в 2025 году ставка налога не может превышать 1% стоимости услуги без учета туристического налога и НДС) на территории муниципального образования утверждается нормативными актами представительного органа власти. Ставки могут быть дифференцированы с учетом сезонности и (или) категории средства размещения.</w:t>
      </w:r>
    </w:p>
    <w:p w:rsidR="00BD7908" w:rsidRPr="00BD7908" w:rsidRDefault="00BD7908" w:rsidP="00BD7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908" w:rsidRPr="00BD7908" w:rsidRDefault="00BD7908" w:rsidP="00BD79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D7908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Налог взимается с организаций и физических лиц, которые оказывают гостиничные услуги: предоставление места для временного проживания граждан в средствах размещения, включенных в реестр классифицированных средств размещения, а также оказание данных услуг в составе услуг по санаторно-курортному лечению. Сумму налога определяют при окончательном расчете с гражданином, исходя из полной стоимости оказанных услуг. В расчетных документах налог указывается отдельной строкой. Минимальный налог составляет 100 рублей за сутки проживания.</w:t>
      </w:r>
    </w:p>
    <w:p w:rsidR="00BD7908" w:rsidRPr="00BD7908" w:rsidRDefault="00BD7908" w:rsidP="00BD7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908" w:rsidRPr="00BD7908" w:rsidRDefault="00BD7908" w:rsidP="00BD79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D7908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Предусмотрены льготы для отдельных категорий граждан. Так, не облагаются налогом услуги по временному проживанию для лиц, принимающих (принимавших) участие в специальной военной операции, участников и инвалидов Великой Отечественной войны, ветеранов и инвалидов боевых действий, инвалидов I и II групп, инвалидов с детства, детей-инвалидов и др.</w:t>
      </w:r>
    </w:p>
    <w:p w:rsidR="00BD7908" w:rsidRPr="00BD7908" w:rsidRDefault="00BD7908" w:rsidP="00BD7908"/>
    <w:p w:rsidR="00083DAA" w:rsidRDefault="00083DAA"/>
    <w:sectPr w:rsidR="00083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14"/>
    <w:rsid w:val="00083DAA"/>
    <w:rsid w:val="00BD7908"/>
    <w:rsid w:val="00DF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04837-0F7F-4859-9033-9399797A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4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log.garant.ru/fns/nk/ad7fc909c43d4effa66f6f3cc193781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Inet</cp:lastModifiedBy>
  <cp:revision>2</cp:revision>
  <dcterms:created xsi:type="dcterms:W3CDTF">2024-12-09T04:53:00Z</dcterms:created>
  <dcterms:modified xsi:type="dcterms:W3CDTF">2024-12-09T04:55:00Z</dcterms:modified>
</cp:coreProperties>
</file>