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ind w:left="0" w:right="0" w:hanging="0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МЕТОДИЧЕСКИЕ РЕКОМЕНДАЦИИ</w:t>
      </w:r>
    </w:p>
    <w:p>
      <w:pPr>
        <w:pStyle w:val="Normal"/>
        <w:spacing w:lineRule="auto" w:line="276" w:before="0" w:after="0"/>
        <w:ind w:left="0" w:right="0" w:hanging="0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об организации работы региональных межведомственных комиссий по противодействию нелегальной занятости и порядок работы рабочих групп по выявлению нелегальной занятости и организации межведомственного взаимодействия по снижению уровня нелегальной занятости </w:t>
      </w:r>
    </w:p>
    <w:p>
      <w:pPr>
        <w:pStyle w:val="Normal"/>
        <w:spacing w:lineRule="auto" w:line="240" w:before="0" w:after="0"/>
        <w:ind w:left="284" w:right="0" w:firstLine="567"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</w:r>
    </w:p>
    <w:p>
      <w:pPr>
        <w:pStyle w:val="Normal"/>
        <w:spacing w:lineRule="exact" w:line="360" w:before="0" w:after="240"/>
        <w:ind w:left="0" w:right="0" w:hanging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I. Общие положения</w:t>
      </w:r>
    </w:p>
    <w:p>
      <w:pPr>
        <w:pStyle w:val="Normal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b/>
          <w:sz w:val="16"/>
          <w:shd w:fill="4BF357" w:val="clear"/>
        </w:rPr>
      </w:pPr>
      <w:r>
        <w:rPr>
          <w:rFonts w:ascii="Times New Roman" w:hAnsi="Times New Roman"/>
          <w:b/>
          <w:sz w:val="16"/>
          <w:shd w:fill="4BF357" w:val="clear"/>
        </w:rPr>
      </w:r>
    </w:p>
    <w:p>
      <w:pPr>
        <w:pStyle w:val="Normal"/>
        <w:numPr>
          <w:ilvl w:val="0"/>
          <w:numId w:val="1"/>
        </w:numPr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Настоящие Методические рекомендации разработаны в соответствии с пунктом 2 раздела II протокола заседания Межведомственной рабочей группы по вопросу восстановления рынка труда от 31 октября 2024 г. № 25пр в целях организации в субъектах Российской Федерации работы по снижению уровня и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противодействия нелегальной занятости, реализации постановления Правительства Российской Федерации «Об утверждении Положения о создании и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деятельности межведомственных комиссий субъектов Российской Федерации по противодействию нелегальной занятости» от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03.05.2024 г. № 571 (далее – Постановление № 571), а также пункта 4 Плана мероприятий противодействия нелегальной занятости в Российской Федерации на 2025-2027 годы, утвержденного распоряжением Правительства Российской Федерации от 8 мая 2025 г. № 1166-р».</w:t>
      </w:r>
    </w:p>
    <w:p>
      <w:pPr>
        <w:pStyle w:val="Normal"/>
        <w:numPr>
          <w:ilvl w:val="0"/>
          <w:numId w:val="1"/>
        </w:numPr>
        <w:spacing w:lineRule="auto" w:line="276" w:before="0" w:after="240"/>
        <w:ind w:left="0" w:right="0" w:firstLine="850"/>
        <w:contextualSpacing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sz w:val="28"/>
        </w:rPr>
        <w:t xml:space="preserve">Методические рекомендации определяют порядок работы </w:t>
      </w:r>
      <w:r>
        <w:rPr>
          <w:rFonts w:ascii="Times New Roman" w:hAnsi="Times New Roman"/>
          <w:b w:val="false"/>
          <w:sz w:val="28"/>
        </w:rPr>
        <w:t>и</w:t>
      </w:r>
      <w:r>
        <w:rPr>
          <w:rFonts w:ascii="Times New Roman" w:hAnsi="Times New Roman"/>
          <w:b w:val="false"/>
          <w:spacing w:val="0"/>
          <w:sz w:val="28"/>
        </w:rPr>
        <w:t> </w:t>
      </w:r>
      <w:r>
        <w:rPr>
          <w:rFonts w:ascii="Times New Roman" w:hAnsi="Times New Roman"/>
          <w:b w:val="false"/>
          <w:sz w:val="28"/>
        </w:rPr>
        <w:t xml:space="preserve">организацию межведомственного взаимодействия по снижению уровня нелегальной занятости </w:t>
      </w:r>
      <w:r>
        <w:rPr>
          <w:rFonts w:ascii="Times New Roman" w:hAnsi="Times New Roman"/>
          <w:sz w:val="28"/>
        </w:rPr>
        <w:t>региональных межведомственных комиссий по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противодействию нелегальной занятости, рабочих групп</w:t>
      </w:r>
      <w:r>
        <w:rPr>
          <w:rFonts w:ascii="Times New Roman" w:hAnsi="Times New Roman"/>
          <w:b w:val="false"/>
          <w:sz w:val="28"/>
        </w:rPr>
        <w:t xml:space="preserve">. 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left="0" w:right="0"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Целью Методических рекомендаций является обеспечение единообразного подхода межведомственных комиссий по противодействию нелегальной занятости, рабочих групп, при осуществлении их деятельности.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В целях обеспечения единых подходов и принципов в регулировании мероприятий, направленных на противодействие нелегальной занятости работа проводится с учетом:</w:t>
      </w:r>
    </w:p>
    <w:p>
      <w:pPr>
        <w:pStyle w:val="Normal"/>
        <w:spacing w:lineRule="auto" w:line="276"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- положений Трудового кодекса Российской Федерации от 30 декабря 2001 года № 197-ФЗ;</w:t>
      </w:r>
    </w:p>
    <w:p>
      <w:pPr>
        <w:pStyle w:val="Normal"/>
        <w:spacing w:lineRule="auto" w:line="276"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- положений Федерального закона от 27 июля 2006 года № 152-ФЗ «О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персональных данных»;</w:t>
      </w:r>
    </w:p>
    <w:p>
      <w:pPr>
        <w:pStyle w:val="Normal"/>
        <w:spacing w:lineRule="auto" w:line="276"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- положений Федерального закона от 12 декабря 2023 года № 565-ФЗ «О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занятости населения в Российской Федерации» (глава 13);</w:t>
      </w:r>
    </w:p>
    <w:p>
      <w:pPr>
        <w:pStyle w:val="Normal"/>
        <w:spacing w:lineRule="auto" w:line="276"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- постановления Правительства Российской Федерации от 3 мая 2024 года № 571 «Об утверждении Положения о создании и деятельности межведомственных комиссий субъектов Российской Федерации по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противодействию нелегальной занятости»;</w:t>
      </w:r>
    </w:p>
    <w:p>
      <w:pPr>
        <w:pStyle w:val="Normal"/>
        <w:spacing w:lineRule="auto" w:line="276"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- п</w:t>
      </w:r>
      <w:hyperlink r:id="rId2">
        <w:r>
          <w:rPr>
            <w:rFonts w:ascii="Times New Roman" w:hAnsi="Times New Roman"/>
            <w:sz w:val="28"/>
          </w:rPr>
          <w:t>риказа Министерства труда и социальной защиты Российской Федерации от 2 февраля 2024 года № 40н «Об утверждении Перечня сведений и</w:t>
        </w:r>
      </w:hyperlink>
      <w:r>
        <w:rPr>
          <w:rFonts w:ascii="Times New Roman" w:hAnsi="Times New Roman"/>
          <w:spacing w:val="0"/>
          <w:sz w:val="28"/>
        </w:rPr>
        <w:t> </w:t>
      </w:r>
      <w:hyperlink r:id="rId3">
        <w:r>
          <w:rPr>
            <w:rFonts w:ascii="Times New Roman" w:hAnsi="Times New Roman"/>
            <w:sz w:val="28"/>
          </w:rPr>
          <w:t>информации, в том числе составляющих налоговую тайну, передаваемых налоговыми органами Российской Федерации в межведомственные комиссии субъектов Российской Федерации по противодействию нелегальной занятости, а</w:t>
        </w:r>
      </w:hyperlink>
      <w:r>
        <w:rPr>
          <w:rFonts w:ascii="Times New Roman" w:hAnsi="Times New Roman"/>
          <w:spacing w:val="0"/>
          <w:sz w:val="28"/>
        </w:rPr>
        <w:t> </w:t>
      </w:r>
      <w:hyperlink r:id="rId4">
        <w:r>
          <w:rPr>
            <w:rFonts w:ascii="Times New Roman" w:hAnsi="Times New Roman"/>
            <w:sz w:val="28"/>
          </w:rPr>
          <w:t>также в территориальные органы Федеральной службы по труду и занятости в</w:t>
        </w:r>
      </w:hyperlink>
      <w:r>
        <w:rPr>
          <w:rFonts w:ascii="Times New Roman" w:hAnsi="Times New Roman"/>
          <w:spacing w:val="0"/>
          <w:sz w:val="28"/>
        </w:rPr>
        <w:t> </w:t>
      </w:r>
      <w:hyperlink r:id="rId5">
        <w:r>
          <w:rPr>
            <w:rFonts w:ascii="Times New Roman" w:hAnsi="Times New Roman"/>
            <w:sz w:val="28"/>
          </w:rPr>
          <w:t>порядке межведомственного взаимодействия»</w:t>
        </w:r>
      </w:hyperlink>
      <w:r>
        <w:rPr>
          <w:rFonts w:ascii="Times New Roman" w:hAnsi="Times New Roman"/>
          <w:sz w:val="28"/>
        </w:rPr>
        <w:t>;</w:t>
      </w:r>
    </w:p>
    <w:p>
      <w:pPr>
        <w:pStyle w:val="Normal"/>
        <w:spacing w:lineRule="auto" w:line="276"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- региональных нормативных правовых актов по вопросам создания и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деятельности региональной межведомственной комиссии и рабочих групп по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противодействию нелегальной занятости;</w:t>
      </w:r>
    </w:p>
    <w:p>
      <w:pPr>
        <w:pStyle w:val="Normal"/>
        <w:spacing w:lineRule="auto" w:line="276"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- регионального Плана мероприятий по противодействию нелегальной занятости» (далее – региональный план);</w:t>
      </w:r>
    </w:p>
    <w:p>
      <w:pPr>
        <w:pStyle w:val="Normal"/>
        <w:spacing w:lineRule="auto" w:line="276"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-  настоящих методических рекомендаций».</w:t>
      </w:r>
    </w:p>
    <w:p>
      <w:pPr>
        <w:pStyle w:val="Normal"/>
        <w:spacing w:lineRule="auto" w:line="240" w:before="0" w:after="0"/>
        <w:ind w:left="0" w:right="0" w:firstLine="85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</w:r>
    </w:p>
    <w:p>
      <w:pPr>
        <w:pStyle w:val="Normal"/>
        <w:spacing w:lineRule="exact" w:line="360" w:before="0" w:after="240"/>
        <w:ind w:left="0" w:right="0" w:hanging="0"/>
        <w:jc w:val="center"/>
        <w:rPr/>
      </w:pPr>
      <w:r>
        <w:rPr>
          <w:rFonts w:ascii="Times New Roman" w:hAnsi="Times New Roman"/>
          <w:b/>
          <w:sz w:val="28"/>
        </w:rPr>
        <w:t>II. Термины, определения и сокращения</w:t>
      </w:r>
    </w:p>
    <w:p>
      <w:pPr>
        <w:pStyle w:val="Normal"/>
        <w:spacing w:lineRule="auto" w:line="240" w:before="0" w:after="0"/>
        <w:ind w:left="0" w:right="0" w:hanging="0"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</w:r>
    </w:p>
    <w:p>
      <w:pPr>
        <w:pStyle w:val="Normal"/>
        <w:numPr>
          <w:ilvl w:val="0"/>
          <w:numId w:val="1"/>
        </w:numPr>
        <w:spacing w:lineRule="auto" w:line="276" w:before="0" w:after="0"/>
        <w:ind w:left="0" w:right="0" w:firstLine="850"/>
        <w:jc w:val="both"/>
        <w:rPr/>
      </w:pPr>
      <w:r>
        <w:rPr>
          <w:rFonts w:ascii="Times New Roman" w:hAnsi="Times New Roman"/>
          <w:b w:val="false"/>
          <w:sz w:val="28"/>
        </w:rPr>
        <w:t>Под нелегальной занятостью,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согласно статьи 66 Федерального закона «О занятости населения в Российской Федерации» от 12.12.2023 г. № 565-ФЗ</w:t>
      </w:r>
      <w:r>
        <w:rPr>
          <w:sz w:val="28"/>
        </w:rPr>
        <w:t xml:space="preserve">, </w:t>
      </w:r>
      <w:r>
        <w:rPr>
          <w:rFonts w:ascii="Times New Roman" w:hAnsi="Times New Roman"/>
          <w:b w:val="false"/>
          <w:sz w:val="28"/>
        </w:rPr>
        <w:t>понимается о</w:t>
      </w:r>
      <w:r>
        <w:rPr>
          <w:rFonts w:ascii="Times New Roman" w:hAnsi="Times New Roman"/>
          <w:sz w:val="28"/>
        </w:rPr>
        <w:t>существление трудовой деятельности в нарушение установленного трудовым законодательством порядка оформления трудовых отношений.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left="0" w:right="0" w:firstLine="850"/>
        <w:contextualSpacing/>
        <w:jc w:val="both"/>
        <w:rPr/>
      </w:pPr>
      <w:r>
        <w:rPr>
          <w:rFonts w:ascii="Times New Roman" w:hAnsi="Times New Roman"/>
          <w:sz w:val="28"/>
        </w:rPr>
        <w:t>МВК – межведомственная комиссия является постоянно действующим коллегиальным органом, созданным в целях организации и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координации работы по снижению нелегальной занятости в субъекте Российской Федерации с привлечением органов власти субъекта Российской Федерации, представителей органов прокуратуры, заинтересованных территориальных органов федеральных органов исполнительной власти, в том числе Министерства внутренних дел Российской Федерации (далее – органов внутренних дел), Федеральной налоговой службы (далее – ФНС России), Федеральной службы по труду и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занятости (Роструд), государственных внебюджетных фондов, объединений профсоюзов и объединений работодателей, а также иных заинтересованных органов и организаций.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left="0" w:right="0" w:firstLine="850"/>
        <w:jc w:val="both"/>
        <w:rPr>
          <w:rFonts w:ascii="Times New Roman" w:hAnsi="Times New Roman"/>
          <w:i w:val="false"/>
          <w:i w:val="false"/>
          <w:sz w:val="28"/>
        </w:rPr>
      </w:pPr>
      <w:r>
        <w:rPr>
          <w:rFonts w:ascii="Times New Roman" w:hAnsi="Times New Roman"/>
          <w:i w:val="false"/>
          <w:sz w:val="28"/>
        </w:rPr>
        <w:t>Рабочая группа МВК – рабочая группа, созданная МВК в</w:t>
      </w:r>
      <w:r>
        <w:rPr>
          <w:rFonts w:ascii="Times New Roman" w:hAnsi="Times New Roman"/>
          <w:i w:val="false"/>
          <w:spacing w:val="0"/>
          <w:sz w:val="28"/>
        </w:rPr>
        <w:t> </w:t>
      </w:r>
      <w:r>
        <w:rPr>
          <w:rFonts w:ascii="Times New Roman" w:hAnsi="Times New Roman"/>
          <w:i w:val="false"/>
          <w:sz w:val="28"/>
        </w:rPr>
        <w:t xml:space="preserve">муниципальном образовании на территории соответствующего субъекта Российской Федерации и являющаяся неотъемлемой частью МВК. 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left="0" w:right="0" w:firstLine="850"/>
        <w:jc w:val="both"/>
        <w:rPr>
          <w:rFonts w:ascii="Times New Roman" w:hAnsi="Times New Roman"/>
          <w:i w:val="false"/>
          <w:i w:val="false"/>
          <w:sz w:val="28"/>
        </w:rPr>
      </w:pPr>
      <w:r>
        <w:rPr>
          <w:rFonts w:ascii="Times New Roman" w:hAnsi="Times New Roman"/>
          <w:i w:val="false"/>
          <w:sz w:val="28"/>
        </w:rPr>
        <w:t>Перечень муниципальных образований, на территориях которых будут созданы рабочие группы МВК, определяется нормативным правовым актом субъекта Российской Федерации.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left="0" w:right="0" w:firstLine="850"/>
        <w:jc w:val="both"/>
        <w:rPr>
          <w:rFonts w:ascii="Times New Roman" w:hAnsi="Times New Roman"/>
          <w:sz w:val="28"/>
        </w:rPr>
      </w:pPr>
      <w:r>
        <w:rPr/>
        <w:t>П</w:t>
      </w:r>
      <w:r>
        <w:rPr>
          <w:rFonts w:ascii="Times New Roman" w:hAnsi="Times New Roman"/>
          <w:sz w:val="28"/>
        </w:rPr>
        <w:t>лан мероприятий МВК - комплекс системных мероприятий по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противодействию нелегальной занятости и легализации трудовых отношений, реализуемый в субъекте Российской Федерации.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left="0" w:right="0"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График деятельности МВК - </w:t>
      </w:r>
      <w:r>
        <w:rPr>
          <w:rFonts w:ascii="Times New Roman" w:hAnsi="Times New Roman"/>
          <w:strike w:val="false"/>
          <w:dstrike w:val="false"/>
          <w:sz w:val="28"/>
        </w:rPr>
        <w:t>график</w:t>
      </w:r>
      <w:r>
        <w:rPr>
          <w:rFonts w:ascii="Times New Roman" w:hAnsi="Times New Roman"/>
          <w:sz w:val="28"/>
        </w:rPr>
        <w:t xml:space="preserve"> заседаний МВК по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заслушиванию приглашенных работодателей, уклоняющихся от заключения трудовых договоров, либо заключивших гражданско-правовые договоры, фактически регулирующие трудовые отношения.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left="0" w:right="0"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График деятельности РГ – г</w:t>
      </w:r>
      <w:r>
        <w:rPr>
          <w:rFonts w:ascii="Times New Roman" w:hAnsi="Times New Roman"/>
          <w:strike w:val="false"/>
          <w:dstrike w:val="false"/>
          <w:sz w:val="28"/>
        </w:rPr>
        <w:t>рафик</w:t>
      </w:r>
      <w:r>
        <w:rPr>
          <w:rFonts w:ascii="Times New Roman" w:hAnsi="Times New Roman"/>
          <w:sz w:val="28"/>
        </w:rPr>
        <w:t xml:space="preserve"> заседаний Рабочей группы МВК по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заслушиванию приглашенных работодателей.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left="0" w:right="0"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Целевой показатель – целевой показатель, ежегодного устанавливаемый Министерством труда и социальной защиты Российской Федерации, по выявлению нелегальной занятости в субъекте Российской Федерации.</w:t>
      </w:r>
    </w:p>
    <w:p>
      <w:pPr>
        <w:pStyle w:val="Normal"/>
        <w:spacing w:lineRule="auto" w:line="240" w:before="0" w:after="0"/>
        <w:ind w:left="0" w:right="0" w:firstLine="85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</w:r>
    </w:p>
    <w:p>
      <w:pPr>
        <w:pStyle w:val="Normal"/>
        <w:spacing w:lineRule="exact" w:line="360" w:before="0" w:after="240"/>
        <w:ind w:left="0" w:right="0" w:hanging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III. Порядок работы МВК по выявлению нелегальной занятости </w:t>
      </w:r>
    </w:p>
    <w:p>
      <w:pPr>
        <w:pStyle w:val="Normal"/>
        <w:spacing w:lineRule="auto" w:line="240" w:before="0" w:after="0"/>
        <w:ind w:left="0" w:right="0" w:firstLine="51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13.</w:t>
      </w:r>
      <w:r>
        <w:rPr>
          <w:rFonts w:ascii="Times New Roman" w:hAnsi="Times New Roman"/>
          <w:strike w:val="false"/>
          <w:dstrike w:val="false"/>
        </w:rPr>
        <w:t xml:space="preserve"> П</w:t>
      </w:r>
      <w:r>
        <w:rPr>
          <w:rFonts w:ascii="Times New Roman" w:hAnsi="Times New Roman"/>
          <w:strike w:val="false"/>
          <w:dstrike w:val="false"/>
          <w:sz w:val="28"/>
        </w:rPr>
        <w:t>редседатель МВК, равно как и заместитель председателя, ответственный секретарь – назначаются из числа представителей высшего исполнительного органа субъекта РФ, исполнительных органов субъекта РФ.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13.1. МВК осуществляет подготовку и утверждение Плана мероприятий, также дальнейшую его актуализацию (при необходимости).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13.2. В План мероприятий МВК включаются меры, направленные на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профилактику снижения уровня нелегальной занятости (включая проведение информационно-разъяснительной работы с работодателями и гражданами по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вопросам реализации Плана мероприятий), выявление и пресечение осуществления трудовой деятельности с нарушением порядка, установленного законодательством Российской Федерации.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 w:val="false"/>
          <w:sz w:val="28"/>
        </w:rPr>
        <w:t>С</w:t>
      </w:r>
      <w:r>
        <w:rPr>
          <w:rFonts w:ascii="Times New Roman" w:hAnsi="Times New Roman"/>
          <w:sz w:val="28"/>
        </w:rPr>
        <w:t xml:space="preserve"> целью информирования широких слоев общественности и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работодателей о негативных последствиях существования нелегальных трудовых отношений и формирования негативного отношения общества к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нелегальной занятости, особенно в молодежной среде, в План мероприятий МВК</w:t>
      </w:r>
      <w:r>
        <w:rPr>
          <w:rFonts w:ascii="Times New Roman" w:hAnsi="Times New Roman"/>
          <w:i w:val="false"/>
          <w:sz w:val="28"/>
        </w:rPr>
        <w:t xml:space="preserve"> включаются следующие мероприятия, в части </w:t>
      </w:r>
      <w:r>
        <w:rPr>
          <w:rFonts w:ascii="Times New Roman" w:hAnsi="Times New Roman"/>
          <w:sz w:val="28"/>
        </w:rPr>
        <w:t>информационно-разъяснительной работы:</w:t>
      </w:r>
    </w:p>
    <w:p>
      <w:pPr>
        <w:pStyle w:val="Normal"/>
        <w:numPr>
          <w:ilvl w:val="0"/>
          <w:numId w:val="2"/>
        </w:numPr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публикация новостей на официальных сайтах (в пресс-релизе указываются результаты проведенной работы);</w:t>
      </w:r>
    </w:p>
    <w:p>
      <w:pPr>
        <w:pStyle w:val="Normal"/>
        <w:numPr>
          <w:ilvl w:val="0"/>
          <w:numId w:val="2"/>
        </w:numPr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размещение постов в социальных сетях (в виде информационных карточек, видеокомментариев экспертов и видеороликов);</w:t>
      </w:r>
    </w:p>
    <w:p>
      <w:pPr>
        <w:pStyle w:val="Normal"/>
        <w:numPr>
          <w:ilvl w:val="0"/>
          <w:numId w:val="2"/>
        </w:numPr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распространение информации в СМИ (посредством инициативных публикаций, предоставления комментариев на запросы СМИ, выступления (участие) на радио и ТВ);</w:t>
      </w:r>
    </w:p>
    <w:p>
      <w:pPr>
        <w:pStyle w:val="Normal"/>
        <w:numPr>
          <w:ilvl w:val="0"/>
          <w:numId w:val="2"/>
        </w:numPr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распространение полиграфических материалов (в виде буклетов, листовок, памяток).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13.3. На основе установленного Минтрудом России Целевого показателя решением МВК устанавливаются соответствующие количественные показатели для рабочих групп. 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МВК обеспечивает мониторинг достижения Целевого показателя.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 Основные действия МВК производятся по следующей схеме:</w:t>
      </w:r>
    </w:p>
    <w:p>
      <w:pPr>
        <w:pStyle w:val="Normal"/>
        <w:spacing w:lineRule="auto" w:line="276" w:before="0" w:after="0"/>
        <w:ind w:left="0" w:right="0"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14.1. МВК определяет сферы деятельности с наибольшим риском возникновения нелегальной занятости (например, торговля, услуги (клининг, охрана, бытовые, транспортные, гостиничные), авторемонт, общественное питание, строительство, сельское хозяйство и др.), и выявляет хозяйствующие субъекты с признаками нелегальной занятости, используя информацию из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различных источников, в том числе данные:</w:t>
      </w:r>
    </w:p>
    <w:p>
      <w:pPr>
        <w:pStyle w:val="Normal"/>
        <w:numPr>
          <w:ilvl w:val="0"/>
          <w:numId w:val="3"/>
        </w:numPr>
        <w:spacing w:lineRule="auto" w:line="276" w:before="0" w:after="0"/>
        <w:ind w:left="0" w:right="0"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ФНС России;</w:t>
      </w:r>
    </w:p>
    <w:p>
      <w:pPr>
        <w:pStyle w:val="Normal"/>
        <w:numPr>
          <w:ilvl w:val="0"/>
          <w:numId w:val="4"/>
        </w:numPr>
        <w:spacing w:lineRule="auto" w:line="276" w:before="0" w:after="0"/>
        <w:ind w:left="0" w:right="0"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Социального фонда России (далее - СФР);</w:t>
      </w:r>
    </w:p>
    <w:p>
      <w:pPr>
        <w:pStyle w:val="Normal"/>
        <w:numPr>
          <w:ilvl w:val="0"/>
          <w:numId w:val="4"/>
        </w:numPr>
        <w:spacing w:lineRule="auto" w:line="276" w:before="0" w:after="0"/>
        <w:ind w:left="0" w:right="0"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территориальных органов Роструда.</w:t>
      </w:r>
    </w:p>
    <w:p>
      <w:pPr>
        <w:pStyle w:val="Normal"/>
        <w:spacing w:lineRule="auto" w:line="276" w:before="0" w:after="0"/>
        <w:ind w:left="0" w:right="0"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Одним из важнейших источников получения информации является платформа поставки данных «Внешняя поставка данных» ФНС России, на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которой в рамках приказа Минтруда России от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02.02.2024 г. № 40н «Об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утверждении Перечня сведений и информации, в том числе составляющих налоговую тайну, передаваемых налоговыми органами Российской Федерации в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межведомственные комиссии субъектов Российской Федерации по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противодействию нелегальной занятости, а также в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территориальные органы Федеральной службы по труду и занятости в порядке межведомственного взаимодействия» размещается информация:</w:t>
      </w:r>
    </w:p>
    <w:p>
      <w:pPr>
        <w:pStyle w:val="Normal"/>
        <w:spacing w:lineRule="auto" w:line="276" w:before="0" w:after="0"/>
        <w:ind w:left="0" w:right="0"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(при наличии) о работодателях - организациях (индивидуальных предпринимателях), которые начислили за каждый месяц отчетного квартала суммы выплат, уменьшенные на величину базы по договорам гражданско-правового характера, ниже минимального размера оплаты труда не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менее, чем 10 физическим лицам в случаях, когда доля таких физических лиц превышает 10% от общего числа работников указанных работодателей - организаций (индивидуальных предпринимателей);</w:t>
      </w:r>
    </w:p>
    <w:p>
      <w:pPr>
        <w:pStyle w:val="Normal"/>
        <w:spacing w:lineRule="auto" w:line="276" w:before="0" w:after="0"/>
        <w:ind w:left="0" w:right="0"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организации и индивидуальные предприниматели, применяющие специальный налоговый режим «Налог на профессиональный доход» (информация за 12 месяцев (при наличии) об организациях (индивидуальных предпринимателях), взаимодействующих более, чем с 10 физическими лицами (индивидуальными предпринимателями), применяющими специальный налоговый режим «Налог на профессиональный доход», среднемесячный доход которых превышает 20 тысяч рублей и средняя продолжительность работы которых с указанными организациями (индивидуальными предпринимателями) составляет более 3 месяцев). </w:t>
      </w:r>
    </w:p>
    <w:p>
      <w:pPr>
        <w:pStyle w:val="Normal"/>
        <w:widowControl w:val="false"/>
        <w:spacing w:lineRule="auto" w:line="276" w:before="0" w:after="0"/>
        <w:ind w:left="0" w:right="0"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>14.1.1. С целью расширения круга хозяйствующих субъектов с признаками нелегальной занятости возможно установление субъектами РФ для конкретных видов деятельности «рискмаркеров» по уровню заработной платы для заслушивания таких хозяйствующих субъектов на заседаниях МВК.</w:t>
      </w:r>
    </w:p>
    <w:p>
      <w:pPr>
        <w:pStyle w:val="Normal"/>
        <w:spacing w:lineRule="auto" w:line="276"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14.1.2. На основании информации, указанной в п. 13.1. методических рекомендаций, МВК составляет График деятельности МВК. 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14.2. МВК осуществляет  координацию деятельности всех представителей органов государственной власти, входящих в состав Комиссии, для реализации утвержденного Плана мероприятий МВК, Графика деятельности МВК и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достижению установленного Целевого показателя.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14.3. МВК осуществляет контроль за деятельностью рабочих групп МВК в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рамках реализации утвержденного Плана мероприятий и достижения установленного Целевого показателя.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14.4. МВК организует работу по межведомственному обмену данными о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возможных факторах риска наличия нелегальной занятости с использованием: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информации межрайонных инспекций ФНС России по результатам налоговых проверок;</w:t>
      </w:r>
    </w:p>
    <w:p>
      <w:pPr>
        <w:pStyle w:val="Normal"/>
        <w:numPr>
          <w:ilvl w:val="0"/>
          <w:numId w:val="5"/>
        </w:numPr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информации администраций муниципальных районов о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хозяйствующих субъектах, заключивших контракты, в которых объемы услуг не соответствуют количеству работников.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14.5. МВК проводит анализ и сопоставляет полученную информацию от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всех заинтересованных органов, направляет соответствующие данные в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 xml:space="preserve">рабочие группы МВК для принятия соответствующих мер и организации адресной работы с работодателями. 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b w:val="false"/>
          <w:i w:val="false"/>
          <w:i w:val="false"/>
          <w:sz w:val="28"/>
        </w:rPr>
      </w:pPr>
      <w:r>
        <w:rPr>
          <w:rFonts w:ascii="Times New Roman" w:hAnsi="Times New Roman"/>
          <w:i w:val="false"/>
          <w:sz w:val="28"/>
        </w:rPr>
        <w:t xml:space="preserve">14.6. </w:t>
      </w:r>
      <w:r>
        <w:rPr>
          <w:rFonts w:ascii="Times New Roman" w:hAnsi="Times New Roman"/>
          <w:sz w:val="28"/>
        </w:rPr>
        <w:t>МВК</w:t>
      </w:r>
      <w:r>
        <w:rPr>
          <w:rFonts w:ascii="Times New Roman" w:hAnsi="Times New Roman"/>
          <w:i w:val="false"/>
          <w:sz w:val="28"/>
        </w:rPr>
        <w:t xml:space="preserve"> в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28"/>
        </w:rPr>
        <w:t xml:space="preserve"> соответствии с </w:t>
      </w:r>
      <w:r>
        <w:rPr>
          <w:rFonts w:ascii="Times New Roman" w:hAnsi="Times New Roman"/>
          <w:sz w:val="28"/>
        </w:rPr>
        <w:t xml:space="preserve">Графиком деятельности МВК </w:t>
      </w:r>
      <w:r>
        <w:rPr>
          <w:rFonts w:ascii="Times New Roman" w:hAnsi="Times New Roman"/>
          <w:i w:val="false"/>
          <w:sz w:val="28"/>
        </w:rPr>
        <w:t>заслушивает на</w:t>
      </w:r>
      <w:r>
        <w:rPr>
          <w:rFonts w:ascii="Times New Roman" w:hAnsi="Times New Roman"/>
          <w:i w:val="false"/>
          <w:spacing w:val="0"/>
          <w:sz w:val="28"/>
        </w:rPr>
        <w:t> </w:t>
      </w:r>
      <w:r>
        <w:rPr>
          <w:rFonts w:ascii="Times New Roman" w:hAnsi="Times New Roman"/>
          <w:i w:val="false"/>
          <w:sz w:val="28"/>
        </w:rPr>
        <w:t xml:space="preserve">своих заседаниях руководителей и представителей хозяйствующих субъектов, ранее приглашенных и не явившихся на заседания рабочих групп МВК, а также работодателей, отказавшихся </w:t>
      </w:r>
      <w:r>
        <w:rPr>
          <w:rFonts w:ascii="Times New Roman" w:hAnsi="Times New Roman"/>
          <w:b w:val="false"/>
          <w:color w:val="000000"/>
          <w:spacing w:val="0"/>
          <w:sz w:val="28"/>
        </w:rPr>
        <w:t>от заключения трудовых договоров.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b w:val="false"/>
          <w:i w:val="false"/>
          <w:i w:val="false"/>
          <w:sz w:val="28"/>
        </w:rPr>
      </w:pPr>
      <w:r>
        <w:rPr>
          <w:rFonts w:ascii="Times New Roman" w:hAnsi="Times New Roman"/>
          <w:i w:val="false"/>
          <w:sz w:val="28"/>
        </w:rPr>
        <w:t>Р</w:t>
      </w:r>
      <w:r>
        <w:rPr>
          <w:rFonts w:ascii="Times New Roman" w:hAnsi="Times New Roman"/>
          <w:b w:val="false"/>
          <w:i w:val="false"/>
          <w:sz w:val="28"/>
        </w:rPr>
        <w:t xml:space="preserve">екомендуется ежемесячное проведение заседаний Комиссий. 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b w:val="false"/>
          <w:i w:val="false"/>
          <w:i w:val="false"/>
          <w:sz w:val="28"/>
        </w:rPr>
      </w:pPr>
      <w:r>
        <w:rPr>
          <w:rFonts w:ascii="Times New Roman" w:hAnsi="Times New Roman"/>
          <w:b w:val="false"/>
          <w:i w:val="false"/>
          <w:sz w:val="28"/>
        </w:rPr>
        <w:t xml:space="preserve">В отдельных случаях допускается возможность проведения заседаний МВК в заочном формате (для оперативного принятия решений по внесению изменений в документы, утвержденные протоколом МВК, в иных случаях). 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b w:val="false"/>
          <w:i w:val="false"/>
          <w:i w:val="false"/>
          <w:sz w:val="28"/>
        </w:rPr>
      </w:pPr>
      <w:r>
        <w:rPr>
          <w:rFonts w:ascii="Times New Roman" w:hAnsi="Times New Roman"/>
          <w:b w:val="false"/>
          <w:i w:val="false"/>
          <w:sz w:val="28"/>
        </w:rPr>
        <w:t>Заочное заслушивание организаций и индивидуальных предпринимателей не допускается.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14.7. МВК осуществляет мониторинг работы по снижению уровня нелегальной занятости и легализации трудовых отношений, проводит сверки данных по хозяйствующим субъектам и лицам, полученным по результатам проведенной работы. </w:t>
      </w:r>
    </w:p>
    <w:p>
      <w:pPr>
        <w:pStyle w:val="Normal"/>
        <w:spacing w:lineRule="auto" w:line="276" w:before="0" w:after="0"/>
        <w:ind w:left="0" w:right="0"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14.8. МВК организует работу по проведению совместных информационных выездов в целях легализации в организациях, находящихся в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зоне риска, в рамках которых проводится информационно-разъяснительная работа.</w:t>
      </w:r>
    </w:p>
    <w:p>
      <w:pPr>
        <w:pStyle w:val="Normal"/>
        <w:spacing w:lineRule="auto" w:line="276" w:before="0" w:after="0"/>
        <w:ind w:left="0" w:right="0"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итогам информационных выездов и выявленных рисков на заседания МВК и (или) рабочих групп МВК приглашаются работодатели и (или) граждане.</w:t>
      </w:r>
    </w:p>
    <w:p>
      <w:pPr>
        <w:pStyle w:val="Normal"/>
        <w:spacing w:lineRule="auto" w:line="276" w:before="0" w:after="0"/>
        <w:ind w:left="0" w:right="0"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таких заседаниях работодателям предлагается добровольно устранить риски нарушения установленного трудовым законодательством порядка оформления трудовых отношений.</w:t>
      </w:r>
    </w:p>
    <w:p>
      <w:pPr>
        <w:pStyle w:val="Normal"/>
        <w:spacing w:lineRule="auto" w:line="276" w:before="0" w:after="0"/>
        <w:ind w:left="0" w:right="0"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Гражданам предлагается заключить трудовые договоры. 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color w:val="000000"/>
          <w:spacing w:val="0"/>
          <w:sz w:val="28"/>
        </w:rPr>
        <w:t xml:space="preserve">14.9. В случае если работодатель, нарушивший </w:t>
      </w:r>
      <w:r>
        <w:rPr>
          <w:rFonts w:ascii="Times New Roman" w:hAnsi="Times New Roman"/>
          <w:b w:val="false"/>
          <w:sz w:val="28"/>
        </w:rPr>
        <w:t>установленный трудовым законодательством порядок оформления трудовых отношений</w:t>
      </w:r>
      <w:r>
        <w:rPr>
          <w:rFonts w:ascii="Times New Roman" w:hAnsi="Times New Roman"/>
          <w:b w:val="false"/>
          <w:color w:val="000000"/>
          <w:spacing w:val="0"/>
          <w:sz w:val="28"/>
        </w:rPr>
        <w:t>, не является на заседания МВК и (или) уклоняется от заключения трудовых договоров, информация направляется для принятия мер в территориальные органы Роструда и органы прокуратуры</w:t>
      </w:r>
      <w:r>
        <w:rPr>
          <w:rFonts w:ascii="Times New Roman" w:hAnsi="Times New Roman"/>
          <w:b w:val="false"/>
          <w:sz w:val="28"/>
        </w:rPr>
        <w:t>.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15. МВК инициирует проработку возможности стимулирования работодателей к снижению нелегальной занятости путем разработки критериев отбора организаций и индивидуальных предпринимателей для оказания государственной поддержки за счет средств регионального бюджета.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16. По легализованным лицам, оформившим по результатам работы МВК трудовые договоры, МВК ежемесячно с целью подтверждения факта начисления страховых взносов и закрепления юридически оформленных трудовых отношений использует виды сведений СФР «Сведения о факте осуществления трудовой деятельности» и «Сведения о факте начисления страховых взносов» в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 xml:space="preserve">системе межведомственного электронного взаимодействия (СМЭВ). 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Легализованными следует учитывать тех лиц, которые после заключения трудового договора, отработали у данного работодателя не менее1 месяца.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17. МВК обеспечивает представление в Роструд данных мониторинга легализации нелегальной занятости в субъекте Российской Федерации по форме и в сроки, установленные Рострудом. 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18. По итогам отчетного года МВК обеспечивает представление в Роструд предложения по совершенствованию действующего законодательства (при необходимости).</w:t>
      </w:r>
    </w:p>
    <w:p>
      <w:pPr>
        <w:pStyle w:val="Normal"/>
        <w:spacing w:lineRule="auto" w:line="240" w:before="0" w:after="0"/>
        <w:ind w:left="0" w:right="0" w:firstLine="850"/>
        <w:contextualSpacing/>
        <w:jc w:val="both"/>
        <w:rPr>
          <w:rFonts w:ascii="Times New Roman" w:hAnsi="Times New Roman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</w:r>
    </w:p>
    <w:p>
      <w:pPr>
        <w:pStyle w:val="Normal"/>
        <w:spacing w:lineRule="auto" w:line="276" w:before="0" w:after="240"/>
        <w:ind w:left="0" w:right="0" w:hanging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IV. Порядок работы рабочих групп МВК по выявлению нелегальной занятости и организация межведомственного взаимодействия по снижению уровня нелегальной занятости 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19. В целях обеспечения работы МВК по снижению нелегальной занятости в муниципальных образованиях субъекта Российской Федерации создаются рабочие группы МВК. 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20. Возглавляет рабочую группу МВК должностное лицо не ниже заместителя председателя (главы) муниципального образования субъекта Российской Федерации.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21. Основные действия Рабочих групп МВК производятся по следующей схеме: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21.1. Рабочая группа МВК проводит анализ и сопоставляет имеющуюся информацию, с учетом полученной от МВК, составляют График деятельности РГ для принятия соответствующих мер и организации адресной работы с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 xml:space="preserve">работодателями. </w:t>
      </w:r>
    </w:p>
    <w:p>
      <w:pPr>
        <w:pStyle w:val="Normal"/>
        <w:spacing w:lineRule="auto" w:line="276"/>
        <w:ind w:left="0" w:right="0"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21.2. Приглашает руководителей хозяйствующих субъектов с признаками нелегальной занятости на заседание Рабочей группы МВК.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b w:val="false"/>
          <w:i w:val="false"/>
          <w:i w:val="false"/>
          <w:sz w:val="28"/>
        </w:rPr>
      </w:pPr>
      <w:r>
        <w:rPr>
          <w:rFonts w:ascii="Times New Roman" w:hAnsi="Times New Roman"/>
          <w:sz w:val="28"/>
        </w:rPr>
        <w:t xml:space="preserve">21.3. </w:t>
      </w:r>
      <w:r>
        <w:rPr>
          <w:rFonts w:ascii="Times New Roman" w:hAnsi="Times New Roman"/>
          <w:i w:val="false"/>
          <w:sz w:val="28"/>
        </w:rPr>
        <w:t xml:space="preserve">Рабочая группа </w:t>
      </w:r>
      <w:r>
        <w:rPr>
          <w:rFonts w:ascii="Times New Roman" w:hAnsi="Times New Roman"/>
          <w:sz w:val="28"/>
        </w:rPr>
        <w:t>МВК</w:t>
      </w:r>
      <w:r>
        <w:rPr>
          <w:rFonts w:ascii="Times New Roman" w:hAnsi="Times New Roman"/>
          <w:i w:val="false"/>
          <w:sz w:val="28"/>
        </w:rPr>
        <w:t xml:space="preserve"> в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28"/>
        </w:rPr>
        <w:t xml:space="preserve"> соответствии с </w:t>
      </w:r>
      <w:r>
        <w:rPr>
          <w:rFonts w:ascii="Times New Roman" w:hAnsi="Times New Roman"/>
          <w:sz w:val="28"/>
        </w:rPr>
        <w:t xml:space="preserve">Графиком деятельности РГ заслушивает руководителей хозяйствующих субъектов </w:t>
      </w:r>
      <w:r>
        <w:rPr>
          <w:rFonts w:ascii="Times New Roman" w:hAnsi="Times New Roman"/>
          <w:b w:val="false"/>
          <w:color w:val="000000"/>
          <w:spacing w:val="0"/>
          <w:sz w:val="28"/>
        </w:rPr>
        <w:t>в отношении которых имеются признаки нелегальной занятости</w:t>
      </w:r>
      <w:r>
        <w:rPr>
          <w:rFonts w:ascii="Times New Roman" w:hAnsi="Times New Roman"/>
          <w:sz w:val="28"/>
        </w:rPr>
        <w:t>, предлагает руководителю хозяйствующего субъекта самостоятельно (добровольно) в определенный срок оформить трудовые отношения с работниками</w:t>
      </w:r>
      <w:r>
        <w:rPr>
          <w:rFonts w:ascii="Times New Roman" w:hAnsi="Times New Roman"/>
          <w:b w:val="false"/>
          <w:i w:val="false"/>
          <w:sz w:val="28"/>
        </w:rPr>
        <w:t>. Результаты оформляются протокольным решением рабочей группы МВК и остаются на контроле до</w:t>
      </w:r>
      <w:r>
        <w:rPr>
          <w:rFonts w:ascii="Times New Roman" w:hAnsi="Times New Roman"/>
          <w:b w:val="false"/>
          <w:i w:val="false"/>
          <w:spacing w:val="0"/>
          <w:sz w:val="28"/>
        </w:rPr>
        <w:t> </w:t>
      </w:r>
      <w:r>
        <w:rPr>
          <w:rFonts w:ascii="Times New Roman" w:hAnsi="Times New Roman"/>
          <w:b w:val="false"/>
          <w:i w:val="false"/>
          <w:sz w:val="28"/>
        </w:rPr>
        <w:t>устранения нарушений.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b w:val="false"/>
          <w:i w:val="false"/>
          <w:i w:val="false"/>
          <w:sz w:val="28"/>
        </w:rPr>
      </w:pPr>
      <w:r>
        <w:rPr>
          <w:rFonts w:ascii="Times New Roman" w:hAnsi="Times New Roman"/>
        </w:rPr>
        <w:t xml:space="preserve">На каждое заседание Рабочей группы МВК рекомендуется приглашать </w:t>
      </w:r>
      <w:r>
        <w:rPr>
          <w:rFonts w:ascii="Times New Roman" w:hAnsi="Times New Roman"/>
          <w:sz w:val="28"/>
        </w:rPr>
        <w:t>представителей сотрудников органов прокуратуры, органов внутренних дел, налоговой службы и иных заинтересованных органов.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отсутствии на территории муниципального образования представителя соответствующего ведомства допустимо их участие в заседании в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</w:rPr>
        <w:t>режиме ВКС.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b w:val="false"/>
          <w:i w:val="false"/>
          <w:i w:val="false"/>
          <w:sz w:val="28"/>
        </w:rPr>
      </w:pPr>
      <w:r>
        <w:rPr>
          <w:rFonts w:ascii="Times New Roman" w:hAnsi="Times New Roman"/>
          <w:b w:val="false"/>
          <w:i w:val="false"/>
          <w:sz w:val="28"/>
        </w:rPr>
        <w:t xml:space="preserve">Проведение заседаний Рабочей группы МВК рекомендуется ежемесячно (за 2 недели до заседаний МВК). 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21.4. На территории муниципального образования в ходе проведения информационных выездов Рабочие группы МВК, помимо информационно-разъяснительной деятельности, фиксируют хозяйствующие субъекты у которых усматриваются признаки нелегальной занятости </w:t>
      </w:r>
      <w:r>
        <w:rPr>
          <w:rFonts w:ascii="Times New Roman" w:hAnsi="Times New Roman"/>
        </w:rPr>
        <w:t>с целью последующего формирования перечня работодателей для приглашения их на заседание.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Информационные выезды проводятся с привлечением сотрудников соответствующих муниципальных структур, представителей региональных органов исполнительной власти и территориальных органов федеральных органов исполнительной власти.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наличии информации о возможной нелегальной занятости   указанные выезды целесообразно проводить с привлечением представителей органов прокуратуры и органов внутренних дел. 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21.5. Ведут индивидуальный учет закрепляемости на рабочих местах работников, с которыми, в ходе реализации мер по снижению нелегальной занятости, оформлены трудовые отношения. 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21.6. Проводят сверку данных, по результату ведения индивидуального учета закрепляемости, полученного в соответствии  с пунктом 16 настоящих методических рекомендаций. При этом обязанность работодателя считается исполненной в случае наличия отчислений в СФР.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21.7. В случае </w:t>
      </w:r>
      <w:r>
        <w:rPr>
          <w:rFonts w:ascii="Times New Roman" w:hAnsi="Times New Roman"/>
          <w:strike w:val="false"/>
          <w:dstrike w:val="false"/>
        </w:rPr>
        <w:t xml:space="preserve">отсутствия </w:t>
      </w:r>
      <w:r>
        <w:rPr>
          <w:rFonts w:ascii="Times New Roman" w:hAnsi="Times New Roman"/>
          <w:sz w:val="28"/>
        </w:rPr>
        <w:t>в течении календарного месяца</w:t>
      </w:r>
      <w:r>
        <w:rPr>
          <w:rFonts w:ascii="Times New Roman" w:hAnsi="Times New Roman"/>
          <w:strike w:val="false"/>
          <w:dstrike w:val="false"/>
        </w:rPr>
        <w:t xml:space="preserve"> подтверждения</w:t>
      </w:r>
      <w:r>
        <w:rPr>
          <w:rFonts w:ascii="Times New Roman" w:hAnsi="Times New Roman"/>
          <w:sz w:val="28"/>
        </w:rPr>
        <w:t xml:space="preserve"> СФР фактов оформления трудовых отношений в течении календарного месяца, </w:t>
      </w:r>
      <w:r>
        <w:rPr>
          <w:rFonts w:ascii="Times New Roman" w:hAnsi="Times New Roman"/>
          <w:strike w:val="false"/>
          <w:dstrike w:val="false"/>
          <w:sz w:val="28"/>
        </w:rPr>
        <w:t>информация в обязательном порядке передается для заслушивания на заседаниях</w:t>
      </w:r>
      <w:r>
        <w:rPr>
          <w:rFonts w:ascii="Times New Roman" w:hAnsi="Times New Roman"/>
          <w:sz w:val="28"/>
        </w:rPr>
        <w:t xml:space="preserve"> МВК, которая на основе протокольного решения направляет соответствующие материалы </w:t>
      </w:r>
      <w:r>
        <w:rPr>
          <w:rFonts w:ascii="Times New Roman" w:hAnsi="Times New Roman"/>
        </w:rPr>
        <w:t>о выявленных рисках нелегальной занятости</w:t>
      </w:r>
      <w:r>
        <w:rPr>
          <w:rFonts w:ascii="Times New Roman" w:hAnsi="Times New Roman"/>
          <w:sz w:val="28"/>
        </w:rPr>
        <w:t xml:space="preserve"> в территориальные органы Роструда и органы прокуратуры </w:t>
      </w:r>
      <w:r>
        <w:rPr>
          <w:rFonts w:ascii="Times New Roman" w:hAnsi="Times New Roman"/>
        </w:rPr>
        <w:t>для принятия мер реагирования</w:t>
      </w:r>
      <w:r>
        <w:rPr>
          <w:rFonts w:ascii="Times New Roman" w:hAnsi="Times New Roman"/>
          <w:sz w:val="28"/>
        </w:rPr>
        <w:t xml:space="preserve">. 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21.8. Результатами деятельности рабочих групп является юридическое оформление трудовых отношений.</w:t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22. В субъекте Российской Федерации рекомендуется создание телефона «горячей линии» (электронного адреса, аккаунта в социальных сетях и др.), размещение в зданиях администраций, центра занятости населения «почты доверия» для граждан, которые могут сообщить о фактах нарушения оформления трудовых отношений в хозяйствующих субъектах, а также «телефона доверия» для работодателей, сообщающих о фактах недобросовестной конкуренции в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 xml:space="preserve">отрасли, допускаемой хозяйствующими субъектами с использованием механизмов нелегальной занятости. </w:t>
      </w:r>
    </w:p>
    <w:p>
      <w:pPr>
        <w:pStyle w:val="Normal"/>
        <w:spacing w:lineRule="auto" w:line="240" w:before="0" w:after="0"/>
        <w:ind w:left="0" w:right="0" w:firstLine="850"/>
        <w:contextualSpacing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</w:r>
    </w:p>
    <w:p>
      <w:pPr>
        <w:pStyle w:val="Normal"/>
        <w:spacing w:lineRule="auto" w:line="360" w:before="0" w:after="0"/>
        <w:ind w:left="0" w:right="0" w:hanging="0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V. Критерии наличия нелегальной занятости </w:t>
      </w:r>
    </w:p>
    <w:p>
      <w:pPr>
        <w:pStyle w:val="Normal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</w:r>
    </w:p>
    <w:p>
      <w:pPr>
        <w:pStyle w:val="Normal"/>
        <w:spacing w:lineRule="auto" w:line="276" w:before="0" w:after="0"/>
        <w:ind w:left="0" w:right="0" w:firstLine="85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23. Для обеспечения работы Комиссии и рабочих групп рекомендуется использовать следующие характерные критерии наличия нелегальной занятости в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хозяйствующих субъектах, свидетельствующих о наличии трудовых отношений с работником:</w:t>
      </w:r>
    </w:p>
    <w:p>
      <w:pPr>
        <w:pStyle w:val="Normal"/>
        <w:numPr>
          <w:ilvl w:val="0"/>
          <w:numId w:val="6"/>
        </w:numPr>
        <w:spacing w:lineRule="auto" w:line="276"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достижение сторонами соглашения о личном выполнении работником определенной, заранее обусловленной трудовой функции в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интересах, под контролем и управлением работодателя;</w:t>
      </w:r>
    </w:p>
    <w:p>
      <w:pPr>
        <w:pStyle w:val="Normal"/>
        <w:numPr>
          <w:ilvl w:val="0"/>
          <w:numId w:val="6"/>
        </w:numPr>
        <w:spacing w:lineRule="auto" w:line="276"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подчинение работника действующим у работодателя правилам внутреннего трудового распорядка; обеспечение работодателем условий труда;</w:t>
      </w:r>
    </w:p>
    <w:p>
      <w:pPr>
        <w:pStyle w:val="Normal"/>
        <w:numPr>
          <w:ilvl w:val="0"/>
          <w:numId w:val="6"/>
        </w:numPr>
        <w:spacing w:lineRule="auto" w:line="276"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выполнение работником трудовой функции за плату;</w:t>
      </w:r>
    </w:p>
    <w:p>
      <w:pPr>
        <w:pStyle w:val="Normal"/>
        <w:numPr>
          <w:ilvl w:val="0"/>
          <w:numId w:val="6"/>
        </w:numPr>
        <w:spacing w:lineRule="auto" w:line="276"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устойчивый и стабильный характер отношений; подчиненность и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зависимость труда;</w:t>
      </w:r>
    </w:p>
    <w:p>
      <w:pPr>
        <w:pStyle w:val="Normal"/>
        <w:numPr>
          <w:ilvl w:val="0"/>
          <w:numId w:val="6"/>
        </w:numPr>
        <w:spacing w:lineRule="auto" w:line="276"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выполнение работником работы только по определенной специальности, квалификации или должности;</w:t>
      </w:r>
    </w:p>
    <w:p>
      <w:pPr>
        <w:pStyle w:val="Normal"/>
        <w:numPr>
          <w:ilvl w:val="0"/>
          <w:numId w:val="6"/>
        </w:numPr>
        <w:spacing w:lineRule="auto" w:line="276"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наличие дополнительных гарантий работнику, установленных трудовым законодательством и иными нормативными правовыми актами, содержащими нормы трудового права;</w:t>
      </w:r>
    </w:p>
    <w:p>
      <w:pPr>
        <w:pStyle w:val="Normal"/>
        <w:numPr>
          <w:ilvl w:val="0"/>
          <w:numId w:val="6"/>
        </w:numPr>
        <w:spacing w:lineRule="auto" w:line="276"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выполнение работником работы в соответствии с указаниями работодателя;</w:t>
      </w:r>
    </w:p>
    <w:p>
      <w:pPr>
        <w:pStyle w:val="Normal"/>
        <w:numPr>
          <w:ilvl w:val="0"/>
          <w:numId w:val="6"/>
        </w:numPr>
        <w:spacing w:lineRule="auto" w:line="276"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интегрированность работника в организационную структуру (бизнес-процесс) работодателя;</w:t>
      </w:r>
    </w:p>
    <w:p>
      <w:pPr>
        <w:pStyle w:val="Normal"/>
        <w:numPr>
          <w:ilvl w:val="0"/>
          <w:numId w:val="6"/>
        </w:numPr>
        <w:spacing w:lineRule="auto" w:line="276" w:before="0" w:after="0"/>
        <w:ind w:left="0" w:right="0"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деятельность физических лиц на объектах логистической инфраструктуры посреднической цифровой платформы;</w:t>
      </w:r>
    </w:p>
    <w:p>
      <w:pPr>
        <w:pStyle w:val="Normal"/>
        <w:numPr>
          <w:ilvl w:val="0"/>
          <w:numId w:val="6"/>
        </w:numPr>
        <w:spacing w:lineRule="auto" w:line="276"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признание работодателем прав работника на еженедельные выходные дни и ежегодный отпуск;</w:t>
      </w:r>
    </w:p>
    <w:p>
      <w:pPr>
        <w:pStyle w:val="Normal"/>
        <w:numPr>
          <w:ilvl w:val="0"/>
          <w:numId w:val="6"/>
        </w:numPr>
        <w:spacing w:lineRule="auto" w:line="276"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оплата работодателем расходов, связанных с поездками работника в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целях выполнения работы;</w:t>
      </w:r>
    </w:p>
    <w:p>
      <w:pPr>
        <w:pStyle w:val="Normal"/>
        <w:numPr>
          <w:ilvl w:val="0"/>
          <w:numId w:val="6"/>
        </w:numPr>
        <w:spacing w:lineRule="auto" w:line="276"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осуществление периодических выплат работнику, которые являются для него единственным и (или) основным источником доходов;</w:t>
      </w:r>
    </w:p>
    <w:p>
      <w:pPr>
        <w:pStyle w:val="Normal"/>
        <w:numPr>
          <w:ilvl w:val="0"/>
          <w:numId w:val="6"/>
        </w:numPr>
        <w:spacing w:lineRule="auto" w:line="276"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обеспечение работодателем оборудованием, инструментами, технической документацией и иными средствами, необходимыми для исполнения ими трудовых обязанностей.</w:t>
      </w:r>
    </w:p>
    <w:p>
      <w:pPr>
        <w:pStyle w:val="Normal"/>
        <w:spacing w:lineRule="auto" w:line="276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24. Целесообразно исходить не только из наличия (или отсутствия) тех или иных формализованных актов, но и устанавливать, имелись ли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</w:rPr>
        <w:t>действительности признаки трудовых отношений и трудового договора, указанные в статьях 15 и 56 Трудового кодекса Российской Федерации, был ли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</w:rPr>
        <w:t xml:space="preserve">фактически осуществлен допуск работника к выполнению трудовой функции (абзац 2 пункта 17 постановления Пленума Верховного Суда Российской Федерации </w:t>
      </w:r>
      <w:r>
        <w:rPr>
          <w:rFonts w:ascii="Times New Roman" w:hAnsi="Times New Roman"/>
          <w:sz w:val="28"/>
        </w:rPr>
        <w:t>от 29 мая 2018 года № 15 «О применении судами законодательства, регулирующего труд работников, работающих у работодателей – физических лиц и у работодателей - субъектов малого предпринимательства, которые отнесены к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микропредприятиям»</w:t>
      </w:r>
      <w:r>
        <w:rPr>
          <w:rFonts w:ascii="Times New Roman" w:hAnsi="Times New Roman"/>
        </w:rPr>
        <w:t xml:space="preserve">). </w:t>
      </w:r>
    </w:p>
    <w:sectPr>
      <w:headerReference w:type="default" r:id="rId6"/>
      <w:type w:val="nextPage"/>
      <w:pgSz w:w="11906" w:h="16838"/>
      <w:pgMar w:left="1304" w:right="737" w:gutter="0" w:header="720" w:top="1134" w:footer="0" w:bottom="822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XO Thame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9"/>
      <w:jc w:val="center"/>
      <w:rPr/>
    </w:pPr>
    <w:r>
      <w:rPr/>
      <mc:AlternateContent>
        <mc:Choice Requires="wps">
          <w:drawing>
            <wp:anchor behindDoc="0" distT="0" distB="0" distL="114935" distR="114935" simplePos="0" locked="0" layoutInCell="0" allowOverlap="1" relativeHeight="1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0" cy="294640"/>
              <wp:effectExtent l="0" t="0" r="0" b="0"/>
              <wp:wrapSquare wrapText="bothSides"/>
              <wp:docPr id="1" name="Pictur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80" cy="294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t>7</w:t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1" path="m0,0l-2147483645,0l-2147483645,-2147483646l0,-2147483646xe" stroked="f" o:allowincell="f" style="position:absolute;margin-left:196.6pt;margin-top:0.05pt;width:99.95pt;height:23.15pt;mso-wrap-style:squar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"/>
                      <w:jc w:val="center"/>
                      <w:rPr>
                        <w:color w:val="000000"/>
                        <w:spacing w:val="0"/>
                      </w:rPr>
                    </w:pPr>
                    <w:r>
                      <w:rPr>
                        <w:color w:val="000000"/>
                        <w:spacing w:val="0"/>
                      </w:rPr>
                      <w:fldChar w:fldCharType="begin"/>
                    </w:r>
                    <w:r>
                      <w:rPr>
                        <w:spacing w:val="0"/>
                        <w:color w:val="000000"/>
                      </w:rPr>
                      <w:instrText xml:space="preserve"> PAGE </w:instrText>
                    </w:r>
                    <w:r>
                      <w:rPr>
                        <w:spacing w:val="0"/>
                        <w:color w:val="000000"/>
                      </w:rPr>
                      <w:fldChar w:fldCharType="separate"/>
                    </w:r>
                    <w:r>
                      <w:rPr>
                        <w:spacing w:val="0"/>
                        <w:color w:val="000000"/>
                      </w:rPr>
                      <w:t>7</w:t>
                    </w:r>
                    <w:r>
                      <w:rPr>
                        <w:spacing w:val="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/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Tahoma" w:cs="Droid Sans Devanagari"/>
        <w:color w:val="000000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40" w:before="0" w:after="0"/>
      <w:ind w:left="0" w:right="0" w:hanging="0"/>
      <w:jc w:val="both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">
    <w:name w:val="Heading 1"/>
    <w:next w:val="Normal"/>
    <w:uiPriority w:val="9"/>
    <w:qFormat/>
    <w:pPr>
      <w:widowControl/>
      <w:bidi w:val="0"/>
      <w:spacing w:lineRule="auto" w:line="240" w:before="0" w:after="0"/>
      <w:ind w:left="0" w:right="0" w:hanging="0"/>
      <w:jc w:val="left"/>
      <w:outlineLvl w:val="0"/>
    </w:pPr>
    <w:rPr>
      <w:rFonts w:ascii="XO Thames" w:hAnsi="XO Thames" w:eastAsia="Tahoma" w:cs="Droid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">
    <w:name w:val="Heading 2"/>
    <w:next w:val="Normal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1"/>
    </w:pPr>
    <w:rPr>
      <w:rFonts w:ascii="XO Thames" w:hAnsi="XO Thames" w:eastAsia="Tahoma" w:cs="Droid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">
    <w:name w:val="Heading 3"/>
    <w:next w:val="Normal"/>
    <w:uiPriority w:val="9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4">
    <w:name w:val="Heading 4"/>
    <w:next w:val="Normal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3"/>
    </w:pPr>
    <w:rPr>
      <w:rFonts w:ascii="XO Thames" w:hAnsi="XO Thames" w:eastAsia="Tahoma" w:cs="Droid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5">
    <w:name w:val="Heading 5"/>
    <w:next w:val="Normal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4"/>
    </w:pPr>
    <w:rPr>
      <w:rFonts w:ascii="XO Thames" w:hAnsi="XO Thames" w:eastAsia="Tahoma" w:cs="Droid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Heading1">
    <w:name w:val="Heading 1"/>
    <w:qFormat/>
    <w:rPr>
      <w:rFonts w:ascii="XO Thames" w:hAnsi="XO Thames"/>
      <w:b/>
      <w:sz w:val="32"/>
    </w:rPr>
  </w:style>
  <w:style w:type="character" w:styleId="Contents2">
    <w:name w:val="Contents 2"/>
    <w:link w:val="Contents21"/>
    <w:qFormat/>
    <w:rPr>
      <w:rFonts w:ascii="XO Thames" w:hAnsi="XO Thames"/>
      <w:sz w:val="28"/>
    </w:rPr>
  </w:style>
  <w:style w:type="character" w:styleId="Contents4">
    <w:name w:val="Contents 4"/>
    <w:link w:val="Contents41"/>
    <w:qFormat/>
    <w:rPr>
      <w:rFonts w:ascii="XO Thames" w:hAnsi="XO Thames"/>
      <w:sz w:val="28"/>
    </w:rPr>
  </w:style>
  <w:style w:type="character" w:styleId="Contents7">
    <w:name w:val="Contents 7"/>
    <w:link w:val="Contents71"/>
    <w:qFormat/>
    <w:rPr>
      <w:rFonts w:ascii="XO Thames" w:hAnsi="XO Thames"/>
      <w:color w:val="000000"/>
      <w:spacing w:val="0"/>
      <w:sz w:val="28"/>
    </w:rPr>
  </w:style>
  <w:style w:type="character" w:styleId="Contents6">
    <w:name w:val="Contents 6"/>
    <w:link w:val="Contents61"/>
    <w:qFormat/>
    <w:rPr>
      <w:rFonts w:ascii="XO Thames" w:hAnsi="XO Thames"/>
      <w:sz w:val="28"/>
    </w:rPr>
  </w:style>
  <w:style w:type="character" w:styleId="Title">
    <w:name w:val="Title"/>
    <w:qFormat/>
    <w:rPr>
      <w:rFonts w:ascii="XO Thames" w:hAnsi="XO Thames"/>
      <w:b/>
      <w:caps/>
      <w:sz w:val="40"/>
    </w:rPr>
  </w:style>
  <w:style w:type="character" w:styleId="Endnote">
    <w:name w:val="Endnote"/>
    <w:link w:val="Endnote1"/>
    <w:qFormat/>
    <w:rPr>
      <w:rFonts w:ascii="XO Thames" w:hAnsi="XO Thames"/>
      <w:color w:val="000000"/>
      <w:spacing w:val="0"/>
      <w:sz w:val="22"/>
    </w:rPr>
  </w:style>
  <w:style w:type="character" w:styleId="Heading3">
    <w:name w:val="Heading 3"/>
    <w:qFormat/>
    <w:rPr>
      <w:rFonts w:ascii="XO Thames" w:hAnsi="XO Thames"/>
      <w:b/>
      <w:sz w:val="26"/>
    </w:rPr>
  </w:style>
  <w:style w:type="character" w:styleId="Caption">
    <w:name w:val="Caption"/>
    <w:qFormat/>
    <w:rPr>
      <w:i/>
      <w:sz w:val="24"/>
    </w:rPr>
  </w:style>
  <w:style w:type="character" w:styleId="Heading5">
    <w:name w:val="Heading 5"/>
    <w:qFormat/>
    <w:rPr>
      <w:rFonts w:ascii="XO Thames" w:hAnsi="XO Thames"/>
      <w:b/>
      <w:color w:val="000000"/>
      <w:spacing w:val="0"/>
      <w:sz w:val="22"/>
    </w:rPr>
  </w:style>
  <w:style w:type="character" w:styleId="Internetlink">
    <w:name w:val="Internet link"/>
    <w:link w:val="Internetlink1"/>
    <w:qFormat/>
    <w:rPr>
      <w:rFonts w:ascii="XO Thames" w:hAnsi="XO Thames"/>
      <w:color w:val="0000FF"/>
      <w:spacing w:val="0"/>
      <w:sz w:val="24"/>
      <w:u w:val="single"/>
    </w:rPr>
  </w:style>
  <w:style w:type="character" w:styleId="Textbody">
    <w:name w:val="Text body"/>
    <w:qFormat/>
    <w:rPr/>
  </w:style>
  <w:style w:type="character" w:styleId="Contents1">
    <w:name w:val="Contents 1"/>
    <w:link w:val="Contents11"/>
    <w:qFormat/>
    <w:rPr>
      <w:rFonts w:ascii="XO Thames" w:hAnsi="XO Thames"/>
      <w:b/>
      <w:color w:val="000000"/>
      <w:spacing w:val="0"/>
      <w:sz w:val="28"/>
    </w:rPr>
  </w:style>
  <w:style w:type="character" w:styleId="Style9">
    <w:name w:val="Указатель"/>
    <w:link w:val="Style17"/>
    <w:qFormat/>
    <w:rPr/>
  </w:style>
  <w:style w:type="character" w:styleId="Header">
    <w:name w:val="Header"/>
    <w:basedOn w:val="Style11"/>
    <w:qFormat/>
    <w:rPr/>
  </w:style>
  <w:style w:type="character" w:styleId="Contents3">
    <w:name w:val="Contents 3"/>
    <w:link w:val="Contents31"/>
    <w:qFormat/>
    <w:rPr>
      <w:rFonts w:ascii="XO Thames" w:hAnsi="XO Thames"/>
      <w:sz w:val="28"/>
    </w:rPr>
  </w:style>
  <w:style w:type="character" w:styleId="Style10">
    <w:name w:val="Содержимое врезки"/>
    <w:link w:val="Style21"/>
    <w:qFormat/>
    <w:rPr/>
  </w:style>
  <w:style w:type="character" w:styleId="Heading4">
    <w:name w:val="Heading 4"/>
    <w:qFormat/>
    <w:rPr>
      <w:rFonts w:ascii="XO Thames" w:hAnsi="XO Thames"/>
      <w:b/>
      <w:color w:val="000000"/>
      <w:spacing w:val="0"/>
      <w:sz w:val="24"/>
    </w:rPr>
  </w:style>
  <w:style w:type="character" w:styleId="Style11">
    <w:name w:val="Колонтитул"/>
    <w:link w:val="Style19"/>
    <w:qFormat/>
    <w:rPr>
      <w:rFonts w:ascii="XO Thames" w:hAnsi="XO Thames"/>
      <w:color w:val="000000"/>
      <w:spacing w:val="0"/>
      <w:sz w:val="28"/>
    </w:rPr>
  </w:style>
  <w:style w:type="character" w:styleId="-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color w:val="000000"/>
      <w:spacing w:val="0"/>
      <w:sz w:val="22"/>
    </w:rPr>
  </w:style>
  <w:style w:type="character" w:styleId="Contents5">
    <w:name w:val="Contents 5"/>
    <w:link w:val="Contents51"/>
    <w:qFormat/>
    <w:rPr>
      <w:rFonts w:ascii="XO Thames" w:hAnsi="XO Thames"/>
      <w:color w:val="000000"/>
      <w:spacing w:val="0"/>
      <w:sz w:val="28"/>
    </w:rPr>
  </w:style>
  <w:style w:type="character" w:styleId="List">
    <w:name w:val="List"/>
    <w:basedOn w:val="Textbody"/>
    <w:qFormat/>
    <w:rPr/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9">
    <w:name w:val="Contents 9"/>
    <w:link w:val="Contents91"/>
    <w:qFormat/>
    <w:rPr>
      <w:rFonts w:ascii="XO Thames" w:hAnsi="XO Thames"/>
      <w:sz w:val="28"/>
    </w:rPr>
  </w:style>
  <w:style w:type="character" w:styleId="Contents8">
    <w:name w:val="Contents 8"/>
    <w:link w:val="Contents81"/>
    <w:qFormat/>
    <w:rPr>
      <w:rFonts w:ascii="XO Thames" w:hAnsi="XO Thames"/>
      <w:sz w:val="28"/>
    </w:rPr>
  </w:style>
  <w:style w:type="character" w:styleId="Style12">
    <w:name w:val="Заголовок"/>
    <w:link w:val="Style13"/>
    <w:qFormat/>
    <w:rPr>
      <w:rFonts w:ascii="Liberation Sans" w:hAnsi="Liberation Sans"/>
      <w:sz w:val="28"/>
    </w:rPr>
  </w:style>
  <w:style w:type="character" w:styleId="Heading2">
    <w:name w:val="Heading 2"/>
    <w:qFormat/>
    <w:rPr>
      <w:rFonts w:ascii="XO Thames" w:hAnsi="XO Thames"/>
      <w:b/>
      <w:color w:val="000000"/>
      <w:spacing w:val="0"/>
      <w:sz w:val="28"/>
    </w:rPr>
  </w:style>
  <w:style w:type="character" w:styleId="Subtitle">
    <w:name w:val="Subtitle"/>
    <w:qFormat/>
    <w:rPr>
      <w:rFonts w:ascii="XO Thames" w:hAnsi="XO Thames"/>
      <w:i/>
      <w:color w:val="000000"/>
      <w:spacing w:val="0"/>
      <w:sz w:val="24"/>
    </w:rPr>
  </w:style>
  <w:style w:type="paragraph" w:styleId="Style13">
    <w:name w:val="Заголовок"/>
    <w:basedOn w:val="Normal"/>
    <w:next w:val="Style14"/>
    <w:link w:val="Style12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/>
  </w:style>
  <w:style w:type="paragraph" w:styleId="Style16">
    <w:name w:val="Caption"/>
    <w:basedOn w:val="Normal"/>
    <w:qFormat/>
    <w:pPr>
      <w:spacing w:before="120" w:after="120"/>
    </w:pPr>
    <w:rPr>
      <w:i/>
      <w:sz w:val="24"/>
    </w:rPr>
  </w:style>
  <w:style w:type="paragraph" w:styleId="Style17">
    <w:name w:val="Указатель"/>
    <w:basedOn w:val="Normal"/>
    <w:link w:val="Style9"/>
    <w:qFormat/>
    <w:pPr/>
    <w:rPr/>
  </w:style>
  <w:style w:type="paragraph" w:styleId="21">
    <w:name w:val="TOC 2"/>
    <w:next w:val="Normal"/>
    <w:uiPriority w:val="39"/>
    <w:pPr>
      <w:widowControl/>
      <w:bidi w:val="0"/>
      <w:spacing w:lineRule="auto" w:line="240" w:before="0" w:after="0"/>
      <w:ind w:left="2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41">
    <w:name w:val="TOC 4"/>
    <w:next w:val="Normal"/>
    <w:uiPriority w:val="39"/>
    <w:pPr>
      <w:widowControl/>
      <w:bidi w:val="0"/>
      <w:spacing w:lineRule="auto" w:line="240" w:before="0" w:after="0"/>
      <w:ind w:left="6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71">
    <w:name w:val="Contents 7"/>
    <w:link w:val="Contents7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6">
    <w:name w:val="TOC 6"/>
    <w:next w:val="Normal"/>
    <w:uiPriority w:val="39"/>
    <w:pPr>
      <w:widowControl/>
      <w:bidi w:val="0"/>
      <w:spacing w:lineRule="auto" w:line="240" w:before="0" w:after="0"/>
      <w:ind w:left="10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7">
    <w:name w:val="TOC 7"/>
    <w:next w:val="Normal"/>
    <w:uiPriority w:val="39"/>
    <w:pPr>
      <w:widowControl/>
      <w:bidi w:val="0"/>
      <w:spacing w:lineRule="auto" w:line="240" w:before="0" w:after="0"/>
      <w:ind w:left="12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8">
    <w:name w:val="Title"/>
    <w:next w:val="Normal"/>
    <w:uiPriority w:val="10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Endnote1">
    <w:name w:val="Endnote"/>
    <w:link w:val="Endnote"/>
    <w:qFormat/>
    <w:pPr>
      <w:widowControl/>
      <w:bidi w:val="0"/>
      <w:spacing w:lineRule="auto" w:line="240" w:before="0" w:after="0"/>
      <w:ind w:left="0" w:right="0" w:firstLine="851"/>
      <w:jc w:val="both"/>
    </w:pPr>
    <w:rPr>
      <w:rFonts w:ascii="XO Thames" w:hAnsi="XO Thames" w:eastAsia="Tahoma" w:cs="Droid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Internetlink1">
    <w:name w:val="Internet link"/>
    <w:link w:val="Internetlink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Contents11">
    <w:name w:val="Contents 1"/>
    <w:link w:val="Contents1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19">
    <w:name w:val="Колонтитул"/>
    <w:link w:val="Style11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0">
    <w:name w:val="Header"/>
    <w:basedOn w:val="Style19"/>
    <w:pPr/>
    <w:rPr/>
  </w:style>
  <w:style w:type="paragraph" w:styleId="31">
    <w:name w:val="TOC 3"/>
    <w:next w:val="Normal"/>
    <w:uiPriority w:val="39"/>
    <w:pPr>
      <w:widowControl/>
      <w:bidi w:val="0"/>
      <w:spacing w:lineRule="auto" w:line="240" w:before="0" w:after="0"/>
      <w:ind w:left="4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1">
    <w:name w:val="Содержимое врезки"/>
    <w:basedOn w:val="Normal"/>
    <w:link w:val="Style10"/>
    <w:qFormat/>
    <w:pPr/>
    <w:rPr/>
  </w:style>
  <w:style w:type="paragraph" w:styleId="Contents31">
    <w:name w:val="Contents 3"/>
    <w:link w:val="Contents3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">
    <w:name w:val="Footnote"/>
    <w:link w:val="Footnote"/>
    <w:qFormat/>
    <w:pPr>
      <w:widowControl/>
      <w:bidi w:val="0"/>
      <w:spacing w:lineRule="auto" w:line="240" w:before="0" w:after="0"/>
      <w:ind w:left="0" w:right="0" w:firstLine="851"/>
      <w:jc w:val="both"/>
    </w:pPr>
    <w:rPr>
      <w:rFonts w:ascii="XO Thames" w:hAnsi="XO Thames" w:eastAsia="Tahoma" w:cs="Droid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51">
    <w:name w:val="Contents 5"/>
    <w:link w:val="Contents5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">
    <w:name w:val="TOC 1"/>
    <w:next w:val="Normal"/>
    <w:uiPriority w:val="39"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9">
    <w:name w:val="TOC 9"/>
    <w:next w:val="Normal"/>
    <w:uiPriority w:val="39"/>
    <w:pPr>
      <w:widowControl/>
      <w:bidi w:val="0"/>
      <w:spacing w:lineRule="auto" w:line="240" w:before="0" w:after="0"/>
      <w:ind w:left="16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91">
    <w:name w:val="Contents 9"/>
    <w:link w:val="Contents9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8">
    <w:name w:val="TOC 8"/>
    <w:next w:val="Normal"/>
    <w:uiPriority w:val="39"/>
    <w:pPr>
      <w:widowControl/>
      <w:bidi w:val="0"/>
      <w:spacing w:lineRule="auto" w:line="240" w:before="0" w:after="0"/>
      <w:ind w:left="14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51">
    <w:name w:val="TOC 5"/>
    <w:next w:val="Normal"/>
    <w:uiPriority w:val="39"/>
    <w:pPr>
      <w:widowControl/>
      <w:bidi w:val="0"/>
      <w:spacing w:lineRule="auto" w:line="240" w:before="0" w:after="0"/>
      <w:ind w:left="8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2">
    <w:name w:val="Subtitle"/>
    <w:next w:val="Normal"/>
    <w:uiPriority w:val="11"/>
    <w:qFormat/>
    <w:pPr>
      <w:widowControl/>
      <w:bidi w:val="0"/>
      <w:spacing w:lineRule="auto" w:line="240" w:before="0" w:after="0"/>
      <w:ind w:left="0" w:right="0" w:hanging="0"/>
      <w:jc w:val="both"/>
    </w:pPr>
    <w:rPr>
      <w:rFonts w:ascii="XO Thames" w:hAnsi="XO Thames" w:eastAsia="Tahoma" w:cs="Droid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81">
    <w:name w:val="Contents 8"/>
    <w:link w:val="Contents8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1">
    <w:name w:val="Contents 2"/>
    <w:link w:val="Contents2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1">
    <w:name w:val="Contents 4"/>
    <w:link w:val="Contents4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1">
    <w:name w:val="Contents 6"/>
    <w:link w:val="Contents6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internet.garant.ru/document/redirect/408628589/0" TargetMode="External"/><Relationship Id="rId3" Type="http://schemas.openxmlformats.org/officeDocument/2006/relationships/hyperlink" Target="https://internet.garant.ru/document/redirect/408628589/0" TargetMode="External"/><Relationship Id="rId4" Type="http://schemas.openxmlformats.org/officeDocument/2006/relationships/hyperlink" Target="https://internet.garant.ru/document/redirect/408628589/0" TargetMode="External"/><Relationship Id="rId5" Type="http://schemas.openxmlformats.org/officeDocument/2006/relationships/hyperlink" Target="https://internet.garant.ru/document/redirect/408628589/0" TargetMode="External"/><Relationship Id="rId6" Type="http://schemas.openxmlformats.org/officeDocument/2006/relationships/header" Target="head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LibreOffice/7.5.9.2$Linux_X86_64 LibreOffice_project/50$Build-2</Application>
  <AppVersion>15.0000</AppVersion>
  <Pages>6</Pages>
  <Words>2308</Words>
  <Characters>17336</Characters>
  <CharactersWithSpaces>19549</CharactersWithSpaces>
  <Paragraphs>101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2025-08-06T11:54:13Z</dcterms:modified>
  <cp:revision>0</cp:revision>
  <dc:subject/>
  <dc:title/>
</cp:coreProperties>
</file>