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7158CE" w:rsidRDefault="007158CE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Pr="0008041D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04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 О С Т А Н О В Л Е Н И Е 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F75972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27.07.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C969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</w:t>
      </w:r>
    </w:p>
    <w:p w:rsidR="00373689" w:rsidRPr="007158CE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8CE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январь – </w:t>
      </w:r>
      <w:r w:rsidR="00AF6700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C969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7158CE" w:rsidRDefault="007158CE" w:rsidP="00715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7158CE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со статьей 36, главой 25.1.  Бюджетного  кодекса Российской Фед</w:t>
      </w:r>
      <w:r w:rsidR="009E73E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ерации,  статьи 4,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 о бюджетном процессе в Голоустненском  муниципальном образовании, утвержденным решением Думы Голоустненского 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от </w:t>
      </w:r>
      <w:r w:rsidR="00E02036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373689" w:rsidRPr="00E02036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E0203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73689" w:rsidRPr="00E02036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E0203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73689" w:rsidRPr="00E02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E02036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373689" w:rsidRPr="00E0203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02036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373689" w:rsidRPr="00E0203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373689" w:rsidRPr="00E02036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E02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от 27.11.2015г. № 52-155)</w:t>
      </w:r>
      <w:r w:rsidR="00373689" w:rsidRPr="00E0203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атьями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64, 65, 67, 69,70  Устава Голоустненского муниципального образования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373689" w:rsidRPr="007158CE" w:rsidRDefault="00373689" w:rsidP="0008041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отчет  об  исполнение бюджета Голоустненского 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образования  за   январь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F6700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02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73689" w:rsidRPr="007158CE" w:rsidRDefault="00373689" w:rsidP="0008041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 – экономическому отделу (</w:t>
      </w:r>
      <w:r w:rsidR="00456765"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Хариной В. Г</w:t>
      </w: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направить 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об исполнении бюджета Голоустненского муниципального образования за  январь –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6700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 приложением отчета об использовании средств местного бюджета за  январь – </w:t>
      </w:r>
      <w:r w:rsidR="00AF6700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201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Думу Голоустненского муниципального образования.</w:t>
      </w:r>
    </w:p>
    <w:p w:rsidR="00373689" w:rsidRDefault="007158CE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н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астоящее постановление с приложением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3689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Т.</w:t>
      </w:r>
      <w:r w:rsidR="001F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Липская.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39A" w:rsidRDefault="0077239A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CE" w:rsidRDefault="007158C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остановлению Главы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75972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F75972">
        <w:rPr>
          <w:rFonts w:ascii="Times New Roman" w:eastAsia="Times New Roman" w:hAnsi="Times New Roman" w:cs="Times New Roman"/>
          <w:sz w:val="28"/>
          <w:szCs w:val="28"/>
          <w:lang w:eastAsia="ru-RU"/>
        </w:rPr>
        <w:t>70</w:t>
      </w: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Pr="00CA6EEF" w:rsidRDefault="000D221E" w:rsidP="000804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EEF">
        <w:rPr>
          <w:rFonts w:ascii="Times New Roman" w:hAnsi="Times New Roman" w:cs="Times New Roman"/>
          <w:b/>
          <w:sz w:val="28"/>
          <w:szCs w:val="28"/>
        </w:rPr>
        <w:t>ОТЧЕТ ОБ ИСПОЛНЕНИИ БЮДЖЕТА  ГОЛОУСТНЕНСКОГО МУНИЦИПАЛЬНОГО ОБРАЗО</w:t>
      </w:r>
      <w:r w:rsidR="006D2363">
        <w:rPr>
          <w:rFonts w:ascii="Times New Roman" w:hAnsi="Times New Roman" w:cs="Times New Roman"/>
          <w:b/>
          <w:sz w:val="28"/>
          <w:szCs w:val="28"/>
        </w:rPr>
        <w:t>ВАНИЯ</w:t>
      </w:r>
      <w:r w:rsidR="006D2363">
        <w:rPr>
          <w:rFonts w:ascii="Times New Roman" w:hAnsi="Times New Roman" w:cs="Times New Roman"/>
          <w:b/>
          <w:sz w:val="28"/>
          <w:szCs w:val="28"/>
        </w:rPr>
        <w:br/>
        <w:t xml:space="preserve">  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D2363" w:rsidRPr="006D2363">
        <w:rPr>
          <w:rFonts w:ascii="Times New Roman" w:hAnsi="Times New Roman" w:cs="Times New Roman"/>
          <w:b/>
          <w:sz w:val="28"/>
          <w:szCs w:val="28"/>
        </w:rPr>
        <w:t>ЯНВАРЬ</w:t>
      </w:r>
      <w:r w:rsidR="00AF6700">
        <w:rPr>
          <w:rFonts w:ascii="Times New Roman" w:hAnsi="Times New Roman" w:cs="Times New Roman"/>
          <w:b/>
          <w:sz w:val="28"/>
          <w:szCs w:val="28"/>
        </w:rPr>
        <w:t xml:space="preserve"> - ИЮНЬ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 201</w:t>
      </w:r>
      <w:r w:rsidR="0074508E">
        <w:rPr>
          <w:rFonts w:ascii="Times New Roman" w:hAnsi="Times New Roman" w:cs="Times New Roman"/>
          <w:b/>
          <w:sz w:val="28"/>
          <w:szCs w:val="28"/>
        </w:rPr>
        <w:t>6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7137F" w:rsidRDefault="0008041D" w:rsidP="000804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A7137F">
        <w:rPr>
          <w:rFonts w:ascii="Times New Roman" w:hAnsi="Times New Roman" w:cs="Times New Roman"/>
          <w:sz w:val="28"/>
          <w:szCs w:val="28"/>
        </w:rPr>
        <w:t>ыс.</w:t>
      </w:r>
      <w:r w:rsidR="00456765">
        <w:rPr>
          <w:rFonts w:ascii="Times New Roman" w:hAnsi="Times New Roman" w:cs="Times New Roman"/>
          <w:sz w:val="28"/>
          <w:szCs w:val="28"/>
        </w:rPr>
        <w:t xml:space="preserve"> </w:t>
      </w:r>
      <w:r w:rsidR="00A7137F">
        <w:rPr>
          <w:rFonts w:ascii="Times New Roman" w:hAnsi="Times New Roman" w:cs="Times New Roman"/>
          <w:sz w:val="28"/>
          <w:szCs w:val="28"/>
        </w:rPr>
        <w:t>р</w:t>
      </w:r>
      <w:r w:rsidR="000D221E" w:rsidRPr="006D2363">
        <w:rPr>
          <w:rFonts w:ascii="Times New Roman" w:hAnsi="Times New Roman" w:cs="Times New Roman"/>
          <w:sz w:val="28"/>
          <w:szCs w:val="28"/>
        </w:rPr>
        <w:t>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118"/>
        <w:gridCol w:w="1846"/>
        <w:gridCol w:w="1750"/>
        <w:gridCol w:w="1924"/>
      </w:tblGrid>
      <w:tr w:rsidR="00A7137F" w:rsidRPr="00A7137F" w:rsidTr="0008041D">
        <w:trPr>
          <w:trHeight w:val="1575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Уточненный  план на 201</w:t>
            </w:r>
            <w:r w:rsidR="0074508E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E020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Исполнение за 201</w:t>
            </w:r>
            <w:r w:rsidR="0074508E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 исполнения  к годовому уточненному плану</w:t>
            </w:r>
          </w:p>
        </w:tc>
      </w:tr>
      <w:tr w:rsidR="00A7137F" w:rsidRPr="00A7137F" w:rsidTr="0008041D">
        <w:trPr>
          <w:trHeight w:val="30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74508E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6 </w:t>
            </w:r>
            <w:r w:rsidR="00AF67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2B6076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="00AF67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="002B6076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AF67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AF670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3 473,74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F670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54,4</w:t>
            </w:r>
          </w:p>
        </w:tc>
      </w:tr>
      <w:tr w:rsidR="00A7137F" w:rsidRPr="00A7137F" w:rsidTr="0008041D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A22F49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934</w:t>
            </w:r>
            <w:r w:rsidR="00456765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,4</w:t>
            </w:r>
            <w:r w:rsidR="00A448ED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AF670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540,02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F670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57,8</w:t>
            </w:r>
          </w:p>
        </w:tc>
      </w:tr>
      <w:tr w:rsidR="009E18C0" w:rsidRPr="00A7137F" w:rsidTr="0008041D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08041D" w:rsidRDefault="009E18C0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8C0" w:rsidRPr="0008041D" w:rsidRDefault="00A22F49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A448ED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444,43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8C0" w:rsidRPr="0008041D" w:rsidRDefault="00AF670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838,84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8C0" w:rsidRPr="0008041D" w:rsidRDefault="00AF670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58,1</w:t>
            </w:r>
          </w:p>
        </w:tc>
      </w:tr>
      <w:tr w:rsidR="00A7137F" w:rsidRPr="00A7137F" w:rsidTr="0008041D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A22F49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</w:t>
            </w:r>
            <w:r w:rsidR="00456765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37F" w:rsidRPr="0008041D" w:rsidRDefault="00D41006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27,37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41006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9,4</w:t>
            </w:r>
          </w:p>
        </w:tc>
      </w:tr>
      <w:tr w:rsidR="00A7137F" w:rsidRPr="00A7137F" w:rsidTr="0008041D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D41006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3 308,05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41006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1 906,97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41006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57,6</w:t>
            </w:r>
          </w:p>
        </w:tc>
      </w:tr>
      <w:tr w:rsidR="00A7137F" w:rsidRPr="00A7137F" w:rsidTr="0008041D">
        <w:trPr>
          <w:trHeight w:val="37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2854F5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CD31DB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41006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15,3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41006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</w:t>
            </w:r>
          </w:p>
        </w:tc>
      </w:tr>
      <w:tr w:rsidR="00A7137F" w:rsidRPr="00A7137F" w:rsidTr="0008041D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доходы от оказания платных услуг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A22F49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127</w:t>
            </w:r>
            <w:r w:rsidR="00CD31DB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41006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31,97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41006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25,2</w:t>
            </w:r>
          </w:p>
        </w:tc>
      </w:tr>
      <w:tr w:rsidR="002854F5" w:rsidRPr="00A7137F" w:rsidTr="0008041D">
        <w:trPr>
          <w:trHeight w:val="409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08041D" w:rsidRDefault="002854F5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4F5" w:rsidRPr="0008041D" w:rsidRDefault="00A22F49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236,24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D41006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113,27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D41006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47,9</w:t>
            </w:r>
          </w:p>
        </w:tc>
      </w:tr>
      <w:tr w:rsidR="00A7137F" w:rsidRPr="00A7137F" w:rsidTr="0008041D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  в.</w:t>
            </w:r>
            <w:r w:rsidR="00181258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т.</w:t>
            </w:r>
            <w:r w:rsidR="00181258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41006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8 922,23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41006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4 943,67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5D25EB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55,4</w:t>
            </w:r>
          </w:p>
        </w:tc>
      </w:tr>
      <w:tr w:rsidR="00A7137F" w:rsidRPr="00A7137F" w:rsidTr="0008041D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5D25EB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726</w:t>
            </w:r>
            <w:r w:rsidR="00A22F49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22F49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700,25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5D25EB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96,4</w:t>
            </w:r>
          </w:p>
        </w:tc>
      </w:tr>
      <w:tr w:rsidR="00A7137F" w:rsidRPr="00A7137F" w:rsidTr="0008041D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2B6076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5D25EB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37,50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5D25EB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37,1</w:t>
            </w:r>
          </w:p>
        </w:tc>
      </w:tr>
      <w:tr w:rsidR="002854F5" w:rsidRPr="00A7137F" w:rsidTr="0008041D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08041D" w:rsidRDefault="002854F5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2854F5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5D25EB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15,24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5D25EB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46,2</w:t>
            </w:r>
          </w:p>
        </w:tc>
      </w:tr>
      <w:tr w:rsidR="00A7137F" w:rsidRPr="00A7137F" w:rsidTr="00E02036">
        <w:trPr>
          <w:trHeight w:val="319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поселений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5D25EB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5 708,30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5D25EB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3 376,40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5D25EB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59,1</w:t>
            </w:r>
          </w:p>
        </w:tc>
      </w:tr>
      <w:tr w:rsidR="005D25EB" w:rsidRPr="00A7137F" w:rsidTr="0008041D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5EB" w:rsidRPr="0008041D" w:rsidRDefault="005D25EB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5EB" w:rsidRDefault="005D25EB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2 353,70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5EB" w:rsidRDefault="005D25EB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814,29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5EB" w:rsidRDefault="005D25EB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34,6</w:t>
            </w:r>
          </w:p>
        </w:tc>
      </w:tr>
      <w:tr w:rsidR="00A7137F" w:rsidRPr="00A7137F" w:rsidTr="0008041D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5D25EB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15 309,36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5D25EB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8 417,42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5D25EB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55,0</w:t>
            </w:r>
          </w:p>
        </w:tc>
      </w:tr>
    </w:tbl>
    <w:p w:rsidR="00A7137F" w:rsidRDefault="00A7137F" w:rsidP="00A713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86D" w:rsidRDefault="00E6286D" w:rsidP="00A713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86D" w:rsidRPr="0008041D" w:rsidRDefault="00E6286D" w:rsidP="00A7137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0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2.РАСХОДЫ</w:t>
      </w: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189"/>
        <w:gridCol w:w="1122"/>
        <w:gridCol w:w="1905"/>
        <w:gridCol w:w="1671"/>
        <w:gridCol w:w="1623"/>
      </w:tblGrid>
      <w:tr w:rsidR="00E6286D" w:rsidRPr="0008041D" w:rsidTr="00E04B87">
        <w:trPr>
          <w:trHeight w:val="426"/>
        </w:trPr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 на 201</w:t>
            </w:r>
            <w:r w:rsidR="00E04B87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 на 201</w:t>
            </w:r>
            <w:r w:rsidR="00E04B87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тыс.</w:t>
            </w:r>
            <w:r w:rsidR="00181258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E6286D" w:rsidRPr="0008041D" w:rsidTr="00E04B87">
        <w:trPr>
          <w:trHeight w:val="335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02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02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02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02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02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86D" w:rsidRPr="0008041D" w:rsidTr="00E04B87">
        <w:trPr>
          <w:trHeight w:val="322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02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02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02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02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02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B70FC1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9 374,03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B70FC1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4 665,99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B70FC1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49,8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8041D" w:rsidRDefault="002155D2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101,00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8041D" w:rsidRDefault="00B70FC1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37,50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B70FC1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37,1</w:t>
            </w:r>
          </w:p>
        </w:tc>
      </w:tr>
      <w:tr w:rsidR="00E6286D" w:rsidRPr="0008041D" w:rsidTr="00E04B87">
        <w:trPr>
          <w:trHeight w:val="51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1 548,00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B70FC1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773,62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B70FC1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  <w:tr w:rsidR="00E6286D" w:rsidRPr="0008041D" w:rsidTr="00E02036">
        <w:trPr>
          <w:trHeight w:val="81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B70FC1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680,33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B70FC1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32,38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B70FC1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</w:t>
            </w:r>
          </w:p>
        </w:tc>
      </w:tr>
      <w:tr w:rsidR="00E6286D" w:rsidRPr="0008041D" w:rsidTr="00E04B87">
        <w:trPr>
          <w:trHeight w:val="58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B70FC1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3 933,61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B70FC1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1 758,06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B70FC1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44,7</w:t>
            </w:r>
          </w:p>
        </w:tc>
      </w:tr>
      <w:tr w:rsidR="002155D2" w:rsidRPr="0008041D" w:rsidTr="00E02036">
        <w:trPr>
          <w:trHeight w:val="254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155D2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155D2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A8203C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149,56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A8203C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49,41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A8203C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</w:t>
            </w:r>
          </w:p>
        </w:tc>
      </w:tr>
      <w:tr w:rsidR="00E6286D" w:rsidRPr="0008041D" w:rsidTr="00E02036">
        <w:trPr>
          <w:trHeight w:val="32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Проценты по кредиту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A8203C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113,24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A8203C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32,23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A8203C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28,5</w:t>
            </w:r>
          </w:p>
        </w:tc>
      </w:tr>
      <w:tr w:rsidR="00E6286D" w:rsidRPr="0008041D" w:rsidTr="00E02036">
        <w:trPr>
          <w:trHeight w:val="575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215,78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A8203C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66,45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A8203C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30,8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020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A8203C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16 115,55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A8203C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7 415,64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A8203C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46,0</w:t>
            </w:r>
          </w:p>
        </w:tc>
      </w:tr>
    </w:tbl>
    <w:p w:rsidR="00A7137F" w:rsidRPr="0008041D" w:rsidRDefault="00A7137F" w:rsidP="00E6286D">
      <w:pPr>
        <w:rPr>
          <w:rFonts w:ascii="Times New Roman" w:hAnsi="Times New Roman" w:cs="Times New Roman"/>
          <w:sz w:val="28"/>
          <w:szCs w:val="28"/>
        </w:rPr>
      </w:pPr>
    </w:p>
    <w:p w:rsidR="00E6286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Источники: 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Погашение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кредитов от других бюд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жетов бюджетной системы в сумме  </w:t>
      </w:r>
      <w:r w:rsidR="00A8203C">
        <w:rPr>
          <w:rFonts w:ascii="Times New Roman" w:eastAsia="Times New Roman" w:hAnsi="Times New Roman" w:cs="Times New Roman"/>
          <w:sz w:val="28"/>
          <w:szCs w:val="28"/>
          <w:lang w:eastAsia="ru-RU"/>
        </w:rPr>
        <w:t>578,33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E020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221E" w:rsidRPr="00CA6EEF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Остаток</w:t>
      </w:r>
      <w:r w:rsidR="0085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денежных средств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01 </w:t>
      </w:r>
      <w:r w:rsidR="00A8203C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5E6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599,02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EEF" w:rsidRPr="00CA6EEF" w:rsidRDefault="00CA6EEF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EEF" w:rsidRPr="00CA6EEF" w:rsidRDefault="00CA6EEF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970" w:rsidRDefault="00562970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036" w:rsidRDefault="00E02036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036" w:rsidRDefault="00E02036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036" w:rsidRDefault="00E02036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отчету об исполнении бюджета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Голоустненского муниципального </w:t>
      </w:r>
    </w:p>
    <w:p w:rsidR="00276B18" w:rsidRDefault="00562970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 за 2</w:t>
      </w:r>
      <w:r w:rsidR="00276B18"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2016 года</w:t>
      </w:r>
    </w:p>
    <w:p w:rsidR="00562970" w:rsidRPr="00276B18" w:rsidRDefault="00562970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Эффективность использования местного бюджета напрямую зависит от достоверности прогнозирования объемов доходов. Добиться стабильного функционирования муниципального образования можно как за счет эффективного управления доходами, сокращения неэффективных расходов, стимулирования и контроля налогоплательщиков, так и путем усовершенствования действующей законодательной базы.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Увеличение доходного потенциала местных бюджетов эта задача должна рассматриваться совместными усилиями всех уровней власти.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 Голоустненского муниципаль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образования за январь-июнь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2016 года) 2016 года с учетом дополнений и уточнений исполнен со следующими показателями: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1869"/>
        <w:gridCol w:w="2171"/>
        <w:gridCol w:w="2162"/>
      </w:tblGrid>
      <w:tr w:rsidR="00276B18" w:rsidRPr="00276B18" w:rsidTr="00E0203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E02036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E02036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</w:t>
            </w:r>
          </w:p>
          <w:p w:rsidR="00276B18" w:rsidRPr="00E02036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годовой план (тыс. руб.)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E02036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за 2016г. (тыс. руб.)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E02036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276B18" w:rsidRPr="00276B18" w:rsidTr="00E0203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E02036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бюджета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E02036" w:rsidRDefault="00562970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15 309,36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E02036" w:rsidRDefault="00562970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8 417,42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E02036" w:rsidRDefault="00562970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55,0</w:t>
            </w:r>
          </w:p>
        </w:tc>
      </w:tr>
      <w:tr w:rsidR="00276B18" w:rsidRPr="00276B18" w:rsidTr="00E0203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E02036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E02036" w:rsidRDefault="00562970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16 115,55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E02036" w:rsidRDefault="00562970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7 415,64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E02036" w:rsidRDefault="00562970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46,0</w:t>
            </w:r>
          </w:p>
        </w:tc>
      </w:tr>
      <w:tr w:rsidR="00276B18" w:rsidRPr="00276B18" w:rsidTr="00E0203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E02036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Дефицит бюджета</w:t>
            </w:r>
            <w:proofErr w:type="gramStart"/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(-), </w:t>
            </w:r>
            <w:proofErr w:type="gramEnd"/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Профицит бюджета (+)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E02036" w:rsidRDefault="00276B18" w:rsidP="00562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562970"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806,19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E02036" w:rsidRDefault="00562970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1 001,78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E02036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E02036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20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Доходы</w:t>
      </w:r>
    </w:p>
    <w:p w:rsidR="00276B18" w:rsidRPr="00E02036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20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 Голоустненского муниципального образования</w:t>
      </w:r>
    </w:p>
    <w:p w:rsidR="00276B18" w:rsidRPr="00E02036" w:rsidRDefault="00562970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20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</w:t>
      </w:r>
      <w:r w:rsidR="00276B18" w:rsidRPr="00E020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2016 года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 бюджета  Голоустненского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за 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 2016 года с учетом безвозмездных поступлений  запланированы в сумме </w:t>
      </w:r>
      <w:r w:rsidR="00562970" w:rsidRP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>15 309,36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 Фактически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поступило в местный бюджет за 2 квартал 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</w:t>
      </w:r>
      <w:r w:rsidR="00562970" w:rsidRP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>8 417,42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что составляет 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55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утвержденному плану отчетного периода.</w:t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</w:t>
      </w:r>
    </w:p>
    <w:p w:rsidR="00276B18" w:rsidRPr="00276B18" w:rsidRDefault="00276B18" w:rsidP="00276B1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№ 1</w:t>
      </w:r>
    </w:p>
    <w:p w:rsidR="00276B18" w:rsidRPr="00276B18" w:rsidRDefault="00276B18" w:rsidP="00E02036">
      <w:pPr>
        <w:spacing w:after="0" w:line="240" w:lineRule="auto"/>
        <w:jc w:val="right"/>
        <w:rPr>
          <w:rFonts w:ascii="Times New Roman" w:eastAsia="Calibri" w:hAnsi="Times New Roman" w:cs="Times New Roman"/>
          <w:szCs w:val="28"/>
        </w:rPr>
      </w:pPr>
      <w:r w:rsidRPr="00276B18">
        <w:rPr>
          <w:rFonts w:ascii="Times New Roman" w:eastAsia="Calibri" w:hAnsi="Times New Roman" w:cs="Times New Roman"/>
          <w:szCs w:val="28"/>
        </w:rPr>
        <w:t>Тыс. рублей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118"/>
        <w:gridCol w:w="1846"/>
        <w:gridCol w:w="1750"/>
        <w:gridCol w:w="1924"/>
      </w:tblGrid>
      <w:tr w:rsidR="00562970" w:rsidRPr="00A7137F" w:rsidTr="00E02036">
        <w:trPr>
          <w:trHeight w:val="1575"/>
          <w:jc w:val="center"/>
        </w:trPr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276B18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="00562970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доходных источников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Уточненный  план на 2016 год (тыс. руб.)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Исполнение за 2016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 исполнения  к годовому уточненному плану</w:t>
            </w:r>
          </w:p>
        </w:tc>
      </w:tr>
      <w:tr w:rsidR="00562970" w:rsidRPr="00A7137F" w:rsidTr="00E02036">
        <w:trPr>
          <w:trHeight w:val="30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(налоговые и неналоговые)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3 473,74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54,4</w:t>
            </w:r>
          </w:p>
        </w:tc>
      </w:tr>
      <w:tr w:rsidR="00562970" w:rsidRPr="00A7137F" w:rsidTr="00E02036">
        <w:trPr>
          <w:trHeight w:val="51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934,40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540,02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57,8</w:t>
            </w:r>
          </w:p>
        </w:tc>
      </w:tr>
      <w:tr w:rsidR="00562970" w:rsidRPr="00A7137F" w:rsidTr="00E02036">
        <w:trPr>
          <w:trHeight w:val="51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Налоги на товары, реализуемые на территории РФ (акцизы)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1 444,43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838,84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58,1</w:t>
            </w:r>
          </w:p>
        </w:tc>
      </w:tr>
      <w:tr w:rsidR="00562970" w:rsidRPr="00A7137F" w:rsidTr="00E02036">
        <w:trPr>
          <w:trHeight w:val="312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27,37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9,4</w:t>
            </w:r>
          </w:p>
        </w:tc>
      </w:tr>
      <w:tr w:rsidR="00562970" w:rsidRPr="00A7137F" w:rsidTr="00E02036">
        <w:trPr>
          <w:trHeight w:val="312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3 308,05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1 906,97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57,6</w:t>
            </w:r>
          </w:p>
        </w:tc>
      </w:tr>
      <w:tr w:rsidR="00562970" w:rsidRPr="00A7137F" w:rsidTr="00E02036">
        <w:trPr>
          <w:trHeight w:val="372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15,3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</w:t>
            </w:r>
          </w:p>
        </w:tc>
      </w:tr>
      <w:tr w:rsidR="00562970" w:rsidRPr="00A7137F" w:rsidTr="00E02036">
        <w:trPr>
          <w:trHeight w:val="51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доходы от оказания платных услуг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127,00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31,97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25,2</w:t>
            </w:r>
          </w:p>
        </w:tc>
      </w:tr>
      <w:tr w:rsidR="00562970" w:rsidRPr="00A7137F" w:rsidTr="00E02036">
        <w:trPr>
          <w:trHeight w:val="409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236,24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113,27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47,9</w:t>
            </w:r>
          </w:p>
        </w:tc>
      </w:tr>
      <w:tr w:rsidR="00562970" w:rsidRPr="00A7137F" w:rsidTr="00E02036">
        <w:trPr>
          <w:trHeight w:val="465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  в. т. ч.: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8 922,23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4 943,67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55,4</w:t>
            </w:r>
          </w:p>
        </w:tc>
      </w:tr>
      <w:tr w:rsidR="00562970" w:rsidRPr="00A7137F" w:rsidTr="00E02036">
        <w:trPr>
          <w:trHeight w:val="465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726</w:t>
            </w: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700,25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96,4</w:t>
            </w:r>
          </w:p>
        </w:tc>
      </w:tr>
      <w:tr w:rsidR="00562970" w:rsidRPr="00A7137F" w:rsidTr="00E02036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37,50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37,1</w:t>
            </w:r>
          </w:p>
        </w:tc>
      </w:tr>
      <w:tr w:rsidR="00562970" w:rsidRPr="00A7137F" w:rsidTr="00E02036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15,24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46,2</w:t>
            </w:r>
          </w:p>
        </w:tc>
      </w:tr>
      <w:tr w:rsidR="00562970" w:rsidRPr="00A7137F" w:rsidTr="00E02036">
        <w:trPr>
          <w:trHeight w:val="39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поселений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5 708,30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3 376,40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59,1</w:t>
            </w:r>
          </w:p>
        </w:tc>
      </w:tr>
      <w:tr w:rsidR="00562970" w:rsidRPr="00A7137F" w:rsidTr="00E02036">
        <w:trPr>
          <w:trHeight w:val="565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2 353,70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814,29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34,6</w:t>
            </w:r>
          </w:p>
        </w:tc>
      </w:tr>
      <w:tr w:rsidR="00562970" w:rsidRPr="00A7137F" w:rsidTr="00E02036">
        <w:trPr>
          <w:trHeight w:val="51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15 309,36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8 417,42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970" w:rsidRPr="0008041D" w:rsidRDefault="00562970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55,0</w:t>
            </w: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квартала  2016 года собственные доходы бюджета Голоустненского муниципального образования  (налоговые, неналоговые) запланированы в сумме </w:t>
      </w:r>
      <w:r w:rsidR="00562970" w:rsidRPr="005629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6 387,12</w:t>
      </w:r>
      <w:r w:rsidR="005629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исполнены  на 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>54,4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 в сумме 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>3 473,74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(доля  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>41,3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  от всей суммы исполненных  доходов).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Безвозмездные поступления от других бюджетов бюджетной системы РФ запланированы в размере 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>8 922,23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исполнены в размере  </w:t>
      </w:r>
      <w:r w:rsidR="00CD5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4943,67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 (доля  </w:t>
      </w:r>
      <w:r w:rsidR="00CD5A15">
        <w:rPr>
          <w:rFonts w:ascii="Times New Roman" w:eastAsia="Times New Roman" w:hAnsi="Times New Roman" w:cs="Times New Roman"/>
          <w:sz w:val="28"/>
          <w:szCs w:val="28"/>
          <w:lang w:eastAsia="ru-RU"/>
        </w:rPr>
        <w:t>58,7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от всей суммы поступивших доходов).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СРАВНИТЕЛЬНАЯ ТАБЛИЦА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отчетного периода с показателями  2015 года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65413308" wp14:editId="114F94F3">
            <wp:simplePos x="0" y="0"/>
            <wp:positionH relativeFrom="column">
              <wp:posOffset>-89535</wp:posOffset>
            </wp:positionH>
            <wp:positionV relativeFrom="paragraph">
              <wp:posOffset>325120</wp:posOffset>
            </wp:positionV>
            <wp:extent cx="1924050" cy="1295400"/>
            <wp:effectExtent l="0" t="0" r="0" b="0"/>
            <wp:wrapThrough wrapText="bothSides">
              <wp:wrapPolygon edited="0">
                <wp:start x="1283" y="2859"/>
                <wp:lineTo x="1283" y="15882"/>
                <wp:lineTo x="3208" y="17471"/>
                <wp:lineTo x="5560" y="18106"/>
                <wp:lineTo x="15826" y="18106"/>
                <wp:lineTo x="16040" y="17471"/>
                <wp:lineTo x="16681" y="14294"/>
                <wp:lineTo x="21386" y="13341"/>
                <wp:lineTo x="21386" y="8576"/>
                <wp:lineTo x="16681" y="8576"/>
                <wp:lineTo x="16681" y="2859"/>
                <wp:lineTo x="1283" y="2859"/>
              </wp:wrapPolygon>
            </wp:wrapThrough>
            <wp:docPr id="81" name="Диаграмма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    Рисунок </w: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separate"/>
      </w:r>
      <w:r w:rsidR="00316EE3">
        <w:rPr>
          <w:rFonts w:ascii="Times New Roman" w:eastAsia="Times New Roman" w:hAnsi="Times New Roman" w:cs="Times New Roman"/>
          <w:b/>
          <w:bCs/>
          <w:noProof/>
          <w:sz w:val="16"/>
          <w:szCs w:val="20"/>
          <w:lang w:eastAsia="ru-RU"/>
        </w:rPr>
        <w:t>1</w: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Плановые назначения                      Рисунок 2  Фактическое исполнение               </w:t>
      </w:r>
      <w:r w:rsidRPr="00276B18">
        <w:rPr>
          <w:rFonts w:ascii="Times New Roman" w:eastAsia="Times New Roman" w:hAnsi="Times New Roman" w:cs="Times New Roman"/>
          <w:b/>
          <w:bCs/>
          <w:sz w:val="14"/>
          <w:szCs w:val="20"/>
          <w:lang w:eastAsia="ru-RU"/>
        </w:rPr>
        <w:t xml:space="preserve">Рисунок 3     Исполнение к годовому плану %        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5FBE5AEE" wp14:editId="24B33567">
            <wp:simplePos x="0" y="0"/>
            <wp:positionH relativeFrom="column">
              <wp:posOffset>2134235</wp:posOffset>
            </wp:positionH>
            <wp:positionV relativeFrom="paragraph">
              <wp:posOffset>153670</wp:posOffset>
            </wp:positionV>
            <wp:extent cx="1952625" cy="1314450"/>
            <wp:effectExtent l="0" t="0" r="0" b="0"/>
            <wp:wrapThrough wrapText="bothSides">
              <wp:wrapPolygon edited="0">
                <wp:start x="1054" y="2191"/>
                <wp:lineTo x="1054" y="13774"/>
                <wp:lineTo x="4215" y="17530"/>
                <wp:lineTo x="5058" y="18157"/>
                <wp:lineTo x="15383" y="18157"/>
                <wp:lineTo x="21284" y="14087"/>
                <wp:lineTo x="21284" y="4383"/>
                <wp:lineTo x="15594" y="2817"/>
                <wp:lineTo x="4425" y="2191"/>
                <wp:lineTo x="1054" y="2191"/>
              </wp:wrapPolygon>
            </wp:wrapThrough>
            <wp:docPr id="80" name="Диаграмма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287F51AA" wp14:editId="376CB090">
            <wp:simplePos x="0" y="0"/>
            <wp:positionH relativeFrom="column">
              <wp:posOffset>4301490</wp:posOffset>
            </wp:positionH>
            <wp:positionV relativeFrom="paragraph">
              <wp:posOffset>153670</wp:posOffset>
            </wp:positionV>
            <wp:extent cx="1771650" cy="1247775"/>
            <wp:effectExtent l="0" t="0" r="0" b="0"/>
            <wp:wrapThrough wrapText="bothSides">
              <wp:wrapPolygon edited="0">
                <wp:start x="1161" y="2308"/>
                <wp:lineTo x="1394" y="15829"/>
                <wp:lineTo x="2787" y="17808"/>
                <wp:lineTo x="4413" y="18467"/>
                <wp:lineTo x="15097" y="18467"/>
                <wp:lineTo x="15561" y="17808"/>
                <wp:lineTo x="16258" y="14510"/>
                <wp:lineTo x="21368" y="13521"/>
                <wp:lineTo x="21368" y="8244"/>
                <wp:lineTo x="16258" y="8244"/>
                <wp:lineTo x="16258" y="2308"/>
                <wp:lineTo x="1161" y="2308"/>
              </wp:wrapPolygon>
            </wp:wrapThrough>
            <wp:docPr id="79" name="Диаграмма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</w:t>
      </w:r>
      <w:r w:rsidRPr="00276B18">
        <w:rPr>
          <w:rFonts w:ascii="Times New Roman" w:eastAsia="Times New Roman" w:hAnsi="Times New Roman" w:cs="Times New Roman"/>
          <w:b/>
          <w:bCs/>
          <w:sz w:val="14"/>
          <w:szCs w:val="20"/>
          <w:lang w:eastAsia="ru-RU"/>
        </w:rPr>
        <w:t xml:space="preserve"> 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    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В сравнении с показателями 2015 года плановые назначения 2016 года </w:t>
      </w:r>
      <w:r w:rsidR="00CD5A15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выше </w:t>
      </w: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lastRenderedPageBreak/>
        <w:t xml:space="preserve">на </w:t>
      </w:r>
      <w:r w:rsidR="00CD5A15">
        <w:rPr>
          <w:rFonts w:ascii="Times New Roman" w:eastAsia="Times New Roman" w:hAnsi="Times New Roman" w:cs="Times New Roman"/>
          <w:sz w:val="28"/>
          <w:szCs w:val="32"/>
          <w:lang w:eastAsia="ru-RU"/>
        </w:rPr>
        <w:t>2 056,54</w:t>
      </w: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тыс. руб., фактическое  исполнения выше на </w:t>
      </w:r>
      <w:r w:rsidR="00CD5A15">
        <w:rPr>
          <w:rFonts w:ascii="Times New Roman" w:eastAsia="Times New Roman" w:hAnsi="Times New Roman" w:cs="Times New Roman"/>
          <w:sz w:val="28"/>
          <w:szCs w:val="32"/>
          <w:lang w:eastAsia="ru-RU"/>
        </w:rPr>
        <w:t>2 425,64</w:t>
      </w: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тыс. рублей,  что на </w:t>
      </w:r>
      <w:r w:rsidR="00CD5A15">
        <w:rPr>
          <w:rFonts w:ascii="Times New Roman" w:eastAsia="Times New Roman" w:hAnsi="Times New Roman" w:cs="Times New Roman"/>
          <w:sz w:val="28"/>
          <w:szCs w:val="32"/>
          <w:lang w:eastAsia="ru-RU"/>
        </w:rPr>
        <w:t>9,8</w:t>
      </w: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% выше показателей 2015 года.</w:t>
      </w:r>
    </w:p>
    <w:p w:rsidR="00276B18" w:rsidRPr="00E02036" w:rsidRDefault="00276B18" w:rsidP="00276B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20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Налог на доходы физических лиц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нормативу распределения в бюджеты бюджетной системы РФ доля НДФЛ в бюджет Голоустненского муниципального образования   составляет 10 %. НДФЛ, на долю которого приходится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15,5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от всех фактически поступивших в отчетный период собственных доходов. НДФЛ за отчетный период выполнен на 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57,8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и составил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540,02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934,40 тыс. рублей. В сравнении с 2015 г. при плане 925,4 тыс. рублей на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141,86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выше.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16EE3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2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8" name="Диаграмма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7" name="Диаграмм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                    </w:t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Акцизы</w:t>
      </w: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Налога поступило 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838,84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тыс., рублей, при плане 1 444,43 тыс. рублей. Процент выполнения плана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58,1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%. В сравнении с 2015 г. на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299,40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больше при плане 699,6 тыс. руб.</w:t>
      </w:r>
    </w:p>
    <w:p w:rsidR="00276B18" w:rsidRPr="00276B18" w:rsidRDefault="00276B18" w:rsidP="00276B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16EE3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3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6" name="Диаграмма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5" name="Диаграмма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E02036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20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Налог на имущество физических лиц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Налог на имущество физических лиц исполнен на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9,4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и составил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27,37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292,0 тыс. рублей.  В сравнении с 2015 г. на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5,76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269,0 тыс. руб.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16EE3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4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4" name="Диаграмма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3" name="Диаграмма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276B18" w:rsidRPr="00E02036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20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Земельный налог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Налог на землю исполнен на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57,6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и составил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1906,97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при плане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3 308,05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2015 г. на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823,37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больше при плане 3 161,0 тыс. руб.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16EE3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5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2" name="Диаграмма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1" name="Диаграмма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E02036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20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Доходы от использования имущества, находящегося в муниципальной собственности</w:t>
      </w: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Доходы от использования имущества </w:t>
      </w:r>
      <w:proofErr w:type="gramStart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исполнены на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47,9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что составило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113,27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236,24 тыс. рублей. В сравнении с 2015 г. на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17,74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больше при плане 274,9 тыс. руб.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16EE3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6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0" name="Диаграмма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9" name="Диаграмма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E02036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20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Прочие доходы от оказания платных услуг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Доходы исполнены в сумме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31,97  тыс. рублей, при плане   127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рублей, что составило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25,2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 В сравнении с 2015 г. на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6,52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меньше  при плане 121,0 тыс. руб.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16EE3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7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8" name="Диаграмма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7" name="Диаграмма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76B18" w:rsidRPr="00E02036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20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Безвозмездные поступления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 2016 года в бюджет Голоустненского муниципального образования   зачислены следующие виды безвозмездных поступлений от других бюджетов РФ: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Дотации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– 7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00,25 тыс. рублей, при плане 726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,2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 сравнении с 2015 г. на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358,25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больше при плане 342,2 тыс. руб.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Субвенции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52,74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134,00 тыс. рублей, в  сравнении с 2015 г. на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0,42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ыс. руб. меньше  при плане 116,5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Субсидии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3 376,40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при плане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5 708,30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 сравнении с 2015 г. на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4,55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 плане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7 298,20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574FD4" w:rsidRPr="0010475F" w:rsidRDefault="00574FD4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74FD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 Иные межбюджетные трансферты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10475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–</w:t>
      </w:r>
      <w:r w:rsidR="00104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814,29 тыс. руб. при плане 2353,70 тыс. руб. в 2015 году таких поступлений не было.</w:t>
      </w:r>
    </w:p>
    <w:p w:rsidR="00276B18" w:rsidRPr="00574FD4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16EE3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8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38FED8E6" wp14:editId="23D3C666">
            <wp:simplePos x="0" y="0"/>
            <wp:positionH relativeFrom="column">
              <wp:posOffset>3034030</wp:posOffset>
            </wp:positionH>
            <wp:positionV relativeFrom="paragraph">
              <wp:posOffset>120650</wp:posOffset>
            </wp:positionV>
            <wp:extent cx="2752725" cy="1733550"/>
            <wp:effectExtent l="0" t="0" r="0" b="0"/>
            <wp:wrapThrough wrapText="bothSides">
              <wp:wrapPolygon edited="0">
                <wp:start x="747" y="3323"/>
                <wp:lineTo x="747" y="6409"/>
                <wp:lineTo x="1943" y="7596"/>
                <wp:lineTo x="897" y="8545"/>
                <wp:lineTo x="897" y="13292"/>
                <wp:lineTo x="2691" y="15191"/>
                <wp:lineTo x="2242" y="15903"/>
                <wp:lineTo x="2242" y="16378"/>
                <wp:lineTo x="4634" y="18277"/>
                <wp:lineTo x="12706" y="18277"/>
                <wp:lineTo x="20628" y="17802"/>
                <wp:lineTo x="21376" y="17565"/>
                <wp:lineTo x="21376" y="4035"/>
                <wp:lineTo x="20628" y="3798"/>
                <wp:lineTo x="13304" y="3323"/>
                <wp:lineTo x="747" y="3323"/>
              </wp:wrapPolygon>
            </wp:wrapThrough>
            <wp:docPr id="65" name="Диаграмма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                                                  </w:t>
      </w:r>
    </w:p>
    <w:p w:rsidR="00276B18" w:rsidRPr="00276B18" w:rsidRDefault="00517CFF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0FD0AE31" wp14:editId="53B745D9">
            <wp:simplePos x="0" y="0"/>
            <wp:positionH relativeFrom="column">
              <wp:posOffset>-88900</wp:posOffset>
            </wp:positionH>
            <wp:positionV relativeFrom="paragraph">
              <wp:posOffset>53340</wp:posOffset>
            </wp:positionV>
            <wp:extent cx="2676525" cy="1685925"/>
            <wp:effectExtent l="0" t="0" r="0" b="0"/>
            <wp:wrapThrough wrapText="bothSides">
              <wp:wrapPolygon edited="0">
                <wp:start x="13375" y="1464"/>
                <wp:lineTo x="922" y="3905"/>
                <wp:lineTo x="769" y="4881"/>
                <wp:lineTo x="4305" y="5858"/>
                <wp:lineTo x="922" y="7322"/>
                <wp:lineTo x="922" y="7810"/>
                <wp:lineTo x="4305" y="9763"/>
                <wp:lineTo x="1230" y="10007"/>
                <wp:lineTo x="769" y="10495"/>
                <wp:lineTo x="922" y="15132"/>
                <wp:lineTo x="3382" y="17573"/>
                <wp:lineTo x="4766" y="17573"/>
                <wp:lineTo x="4766" y="18549"/>
                <wp:lineTo x="12760" y="18549"/>
                <wp:lineTo x="19678" y="17573"/>
                <wp:lineTo x="19525" y="13668"/>
                <wp:lineTo x="17526" y="13668"/>
                <wp:lineTo x="20140" y="11227"/>
                <wp:lineTo x="19525" y="10495"/>
                <wp:lineTo x="13221" y="9763"/>
                <wp:lineTo x="19986" y="8542"/>
                <wp:lineTo x="19986" y="7810"/>
                <wp:lineTo x="13221" y="5858"/>
                <wp:lineTo x="19217" y="5858"/>
                <wp:lineTo x="19371" y="1953"/>
                <wp:lineTo x="16142" y="1464"/>
                <wp:lineTo x="13375" y="1464"/>
              </wp:wrapPolygon>
            </wp:wrapThrough>
            <wp:docPr id="66" name="Диаграмма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Pr="00E02036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20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Расходы</w:t>
      </w:r>
    </w:p>
    <w:p w:rsidR="00276B18" w:rsidRPr="00E02036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20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бюджета Голоустненского муниципального образования </w:t>
      </w:r>
    </w:p>
    <w:p w:rsidR="00276B18" w:rsidRPr="00E02036" w:rsidRDefault="00517CFF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0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</w:t>
      </w:r>
      <w:r w:rsidR="00276B18" w:rsidRPr="00E020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 2016 года</w:t>
      </w:r>
      <w:r w:rsidR="00276B18" w:rsidRPr="00E02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Основными направлениями повышения эффективности бюджетных расходов являются: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достижение долгосрочной сбалансированности и устойчивости бюджетной системы;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совершенствование разграничения полномочий и организации деятельности публично-правовых образований;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внедрение государственных программ как инструмента повышения эффективности бюджетных расходов;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переход к программной структуре расходов;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оптимизация функций государственного (муниципального) управления;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повышение эффективности предоставления государственных (муниципальных) услуг;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развитие системы государственного (муниципального) финансового контроля;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Расходы бюджета Голоустненского муниципального образования за 1 квартал 2016 года характеризуются следующими данными: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10394" w:type="dxa"/>
        <w:tblInd w:w="-743" w:type="dxa"/>
        <w:tblLook w:val="0000" w:firstRow="0" w:lastRow="0" w:firstColumn="0" w:lastColumn="0" w:noHBand="0" w:noVBand="0"/>
      </w:tblPr>
      <w:tblGrid>
        <w:gridCol w:w="3970"/>
        <w:gridCol w:w="1134"/>
        <w:gridCol w:w="2126"/>
        <w:gridCol w:w="1701"/>
        <w:gridCol w:w="1463"/>
      </w:tblGrid>
      <w:tr w:rsidR="00276B18" w:rsidRPr="00276B18" w:rsidTr="00276B18">
        <w:trPr>
          <w:trHeight w:val="426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раздела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 на 2016 г. 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 на 2016 г. тыс. руб.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исполнения к годовому плану</w:t>
            </w:r>
          </w:p>
        </w:tc>
      </w:tr>
      <w:tr w:rsidR="00276B18" w:rsidRPr="00276B18" w:rsidTr="00276B18">
        <w:trPr>
          <w:trHeight w:val="335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B18" w:rsidRPr="00276B18" w:rsidTr="00276B18">
        <w:trPr>
          <w:trHeight w:val="276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7CFF" w:rsidRPr="00276B18" w:rsidTr="00276B18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9 374,03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4 665,99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49,8</w:t>
            </w:r>
          </w:p>
        </w:tc>
      </w:tr>
      <w:tr w:rsidR="00517CFF" w:rsidRPr="00276B18" w:rsidTr="00276B18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37,50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37,1</w:t>
            </w:r>
          </w:p>
        </w:tc>
      </w:tr>
      <w:tr w:rsidR="00517CFF" w:rsidRPr="00276B18" w:rsidTr="00276B18">
        <w:trPr>
          <w:trHeight w:val="32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1 548,00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773,62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  <w:tr w:rsidR="00517CFF" w:rsidRPr="00276B18" w:rsidTr="00276B18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680,33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32,38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</w:t>
            </w:r>
          </w:p>
        </w:tc>
      </w:tr>
      <w:tr w:rsidR="00517CFF" w:rsidRPr="00276B18" w:rsidTr="00276B18">
        <w:trPr>
          <w:trHeight w:val="58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3 933,61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1 758,06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44,7</w:t>
            </w:r>
          </w:p>
        </w:tc>
      </w:tr>
      <w:tr w:rsidR="00517CFF" w:rsidRPr="00276B18" w:rsidTr="00276B18">
        <w:trPr>
          <w:trHeight w:val="24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149,56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49,41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</w:t>
            </w:r>
          </w:p>
        </w:tc>
      </w:tr>
      <w:tr w:rsidR="00517CFF" w:rsidRPr="00276B18" w:rsidTr="00276B18">
        <w:trPr>
          <w:trHeight w:val="2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Проценты по кредиту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113,24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32,23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28,5</w:t>
            </w:r>
          </w:p>
        </w:tc>
      </w:tr>
      <w:tr w:rsidR="00517CFF" w:rsidRPr="00276B18" w:rsidTr="00276B18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215,78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66,45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30,8</w:t>
            </w:r>
          </w:p>
        </w:tc>
      </w:tr>
      <w:tr w:rsidR="00517CFF" w:rsidRPr="00276B18" w:rsidTr="00276B18">
        <w:trPr>
          <w:trHeight w:val="25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276B18" w:rsidRDefault="00517CFF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16 115,55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7 415,64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CFF" w:rsidRPr="0008041D" w:rsidRDefault="00517CFF" w:rsidP="00E02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46,0</w:t>
            </w:r>
          </w:p>
        </w:tc>
      </w:tr>
    </w:tbl>
    <w:p w:rsidR="00276B18" w:rsidRPr="00276B18" w:rsidRDefault="00276B18" w:rsidP="00276B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Расходная часть бюджета Голоустненского</w:t>
      </w:r>
      <w:r w:rsidR="00517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за 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2016 года исполнена на </w:t>
      </w:r>
      <w:proofErr w:type="gramStart"/>
      <w:r w:rsidR="00517CFF">
        <w:rPr>
          <w:rFonts w:ascii="Times New Roman" w:eastAsia="Times New Roman" w:hAnsi="Times New Roman" w:cs="Times New Roman"/>
          <w:sz w:val="28"/>
          <w:szCs w:val="28"/>
          <w:lang w:eastAsia="ru-RU"/>
        </w:rPr>
        <w:t>46,0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% т.е. при плане </w:t>
      </w:r>
      <w:r w:rsidR="00517CFF">
        <w:rPr>
          <w:rFonts w:ascii="Times New Roman" w:eastAsia="Times New Roman" w:hAnsi="Times New Roman" w:cs="Times New Roman"/>
          <w:sz w:val="28"/>
          <w:szCs w:val="28"/>
          <w:lang w:eastAsia="ru-RU"/>
        </w:rPr>
        <w:t>16 115,55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расходы составили </w:t>
      </w:r>
      <w:r w:rsidR="00517CFF">
        <w:rPr>
          <w:rFonts w:ascii="Times New Roman" w:eastAsia="Times New Roman" w:hAnsi="Times New Roman" w:cs="Times New Roman"/>
          <w:sz w:val="28"/>
          <w:szCs w:val="28"/>
          <w:lang w:eastAsia="ru-RU"/>
        </w:rPr>
        <w:t>7 415,64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рублей. (Бюджетные обязательства). В сравнении с 2015 годом исполнение составило на </w:t>
      </w:r>
      <w:r w:rsidR="00ED41D1">
        <w:rPr>
          <w:rFonts w:ascii="Times New Roman" w:eastAsia="Times New Roman" w:hAnsi="Times New Roman" w:cs="Times New Roman"/>
          <w:sz w:val="28"/>
          <w:szCs w:val="28"/>
          <w:lang w:eastAsia="ru-RU"/>
        </w:rPr>
        <w:t>1 874,57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больше при плане </w:t>
      </w:r>
      <w:r w:rsidR="00ED41D1">
        <w:rPr>
          <w:rFonts w:ascii="Times New Roman" w:eastAsia="Times New Roman" w:hAnsi="Times New Roman" w:cs="Times New Roman"/>
          <w:sz w:val="28"/>
          <w:szCs w:val="28"/>
          <w:lang w:eastAsia="ru-RU"/>
        </w:rPr>
        <w:t>14 348,89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48CAC41A" wp14:editId="25D1E846">
            <wp:simplePos x="0" y="0"/>
            <wp:positionH relativeFrom="column">
              <wp:posOffset>-67945</wp:posOffset>
            </wp:positionH>
            <wp:positionV relativeFrom="paragraph">
              <wp:posOffset>224155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145" y="11872"/>
                <wp:lineTo x="1800" y="13191"/>
                <wp:lineTo x="1309" y="13191"/>
                <wp:lineTo x="1309" y="1681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4" name="Диаграмма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16EE3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9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20B751DA" wp14:editId="33CBD8A2">
            <wp:simplePos x="0" y="0"/>
            <wp:positionH relativeFrom="column">
              <wp:posOffset>3070860</wp:posOffset>
            </wp:positionH>
            <wp:positionV relativeFrom="paragraph">
              <wp:posOffset>119380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196" y="6266"/>
                <wp:lineTo x="2093" y="8244"/>
                <wp:lineTo x="1495" y="8904"/>
                <wp:lineTo x="1495" y="13521"/>
                <wp:lineTo x="2541" y="13521"/>
                <wp:lineTo x="2392" y="16159"/>
                <wp:lineTo x="3289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3" name="Диаграмма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0100  «Общегосударственные вопросы»</w:t>
      </w:r>
    </w:p>
    <w:p w:rsidR="00276B18" w:rsidRP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содержание администрации Голоустненского муниципального образования приведены в таблице: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2502"/>
        <w:gridCol w:w="1297"/>
        <w:gridCol w:w="1753"/>
        <w:gridCol w:w="1865"/>
        <w:gridCol w:w="1564"/>
      </w:tblGrid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1522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раздел</w:t>
            </w:r>
          </w:p>
        </w:tc>
        <w:tc>
          <w:tcPr>
            <w:tcW w:w="1883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годовой план на 2016 г. (тыс. руб.)</w:t>
            </w:r>
          </w:p>
        </w:tc>
        <w:tc>
          <w:tcPr>
            <w:tcW w:w="2084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за 2016 год (тыс. руб.)</w:t>
            </w:r>
          </w:p>
        </w:tc>
        <w:tc>
          <w:tcPr>
            <w:tcW w:w="1643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исполнение к годовому плану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</w:t>
            </w:r>
          </w:p>
        </w:tc>
        <w:tc>
          <w:tcPr>
            <w:tcW w:w="1522" w:type="dxa"/>
            <w:vMerge w:val="restart"/>
            <w:vAlign w:val="center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83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902,98</w:t>
            </w:r>
          </w:p>
        </w:tc>
        <w:tc>
          <w:tcPr>
            <w:tcW w:w="2084" w:type="dxa"/>
          </w:tcPr>
          <w:p w:rsidR="00276B18" w:rsidRPr="00276B18" w:rsidRDefault="00ED41D1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443,21</w:t>
            </w:r>
          </w:p>
        </w:tc>
        <w:tc>
          <w:tcPr>
            <w:tcW w:w="1643" w:type="dxa"/>
          </w:tcPr>
          <w:p w:rsidR="00276B18" w:rsidRPr="00276B18" w:rsidRDefault="00ED41D1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49,1</w:t>
            </w:r>
          </w:p>
        </w:tc>
      </w:tr>
      <w:tr w:rsidR="00276B18" w:rsidRPr="00276B18" w:rsidTr="00276B18">
        <w:trPr>
          <w:trHeight w:val="292"/>
        </w:trPr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з/плату</w:t>
            </w:r>
          </w:p>
        </w:tc>
        <w:tc>
          <w:tcPr>
            <w:tcW w:w="1522" w:type="dxa"/>
            <w:vMerge/>
            <w:vAlign w:val="center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276B18" w:rsidRPr="00276B18" w:rsidRDefault="00276B18" w:rsidP="00ED41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272,</w:t>
            </w:r>
            <w:r w:rsidR="00ED4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084" w:type="dxa"/>
          </w:tcPr>
          <w:p w:rsidR="00276B18" w:rsidRPr="00276B18" w:rsidRDefault="00ED41D1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123,0</w:t>
            </w:r>
          </w:p>
        </w:tc>
        <w:tc>
          <w:tcPr>
            <w:tcW w:w="1643" w:type="dxa"/>
          </w:tcPr>
          <w:p w:rsidR="00276B18" w:rsidRPr="00276B18" w:rsidRDefault="00ED41D1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45,1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Фонд оплаты труда </w:t>
            </w:r>
          </w:p>
        </w:tc>
        <w:tc>
          <w:tcPr>
            <w:tcW w:w="1522" w:type="dxa"/>
            <w:vMerge w:val="restart"/>
            <w:vAlign w:val="center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83" w:type="dxa"/>
          </w:tcPr>
          <w:p w:rsidR="00276B18" w:rsidRPr="00276B18" w:rsidRDefault="00ED41D1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3 906,75</w:t>
            </w:r>
          </w:p>
        </w:tc>
        <w:tc>
          <w:tcPr>
            <w:tcW w:w="2084" w:type="dxa"/>
          </w:tcPr>
          <w:p w:rsidR="00276B18" w:rsidRPr="00276B18" w:rsidRDefault="00ED41D1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2 367,71</w:t>
            </w:r>
          </w:p>
        </w:tc>
        <w:tc>
          <w:tcPr>
            <w:tcW w:w="1643" w:type="dxa"/>
          </w:tcPr>
          <w:p w:rsidR="00276B18" w:rsidRPr="00276B18" w:rsidRDefault="00ED41D1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60,6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з/плату</w:t>
            </w:r>
          </w:p>
        </w:tc>
        <w:tc>
          <w:tcPr>
            <w:tcW w:w="1522" w:type="dxa"/>
            <w:vMerge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276B18" w:rsidRPr="00276B18" w:rsidRDefault="00ED41D1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1 180,07</w:t>
            </w:r>
          </w:p>
        </w:tc>
        <w:tc>
          <w:tcPr>
            <w:tcW w:w="2084" w:type="dxa"/>
          </w:tcPr>
          <w:p w:rsidR="00276B18" w:rsidRDefault="00ED41D1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713,59</w:t>
            </w:r>
          </w:p>
          <w:p w:rsidR="00ED41D1" w:rsidRPr="00276B18" w:rsidRDefault="00ED41D1" w:rsidP="00ED41D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</w:tcPr>
          <w:p w:rsidR="00276B18" w:rsidRPr="00276B18" w:rsidRDefault="00ED41D1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60,5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Текущие расходы</w:t>
            </w:r>
          </w:p>
        </w:tc>
        <w:tc>
          <w:tcPr>
            <w:tcW w:w="1522" w:type="dxa"/>
            <w:vMerge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276B18" w:rsidRPr="00276B18" w:rsidRDefault="00ED41D1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2 271,75</w:t>
            </w:r>
          </w:p>
        </w:tc>
        <w:tc>
          <w:tcPr>
            <w:tcW w:w="2084" w:type="dxa"/>
          </w:tcPr>
          <w:p w:rsidR="00276B18" w:rsidRPr="00276B18" w:rsidRDefault="00ED41D1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1018,48</w:t>
            </w:r>
          </w:p>
        </w:tc>
        <w:tc>
          <w:tcPr>
            <w:tcW w:w="1643" w:type="dxa"/>
          </w:tcPr>
          <w:p w:rsidR="00276B18" w:rsidRPr="00276B18" w:rsidRDefault="00ED41D1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44,8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выборов </w:t>
            </w:r>
          </w:p>
        </w:tc>
        <w:tc>
          <w:tcPr>
            <w:tcW w:w="1522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83" w:type="dxa"/>
          </w:tcPr>
          <w:p w:rsidR="00276B18" w:rsidRPr="00276B18" w:rsidRDefault="00ED41D1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834,78</w:t>
            </w:r>
          </w:p>
        </w:tc>
        <w:tc>
          <w:tcPr>
            <w:tcW w:w="2084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3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522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83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2084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3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76B18" w:rsidRPr="00276B18" w:rsidTr="002A1456">
        <w:trPr>
          <w:trHeight w:val="217"/>
        </w:trPr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2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276B18" w:rsidRPr="00276B18" w:rsidRDefault="00ED4CEB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9 374,03</w:t>
            </w:r>
          </w:p>
        </w:tc>
        <w:tc>
          <w:tcPr>
            <w:tcW w:w="2084" w:type="dxa"/>
          </w:tcPr>
          <w:p w:rsidR="00276B18" w:rsidRPr="00276B18" w:rsidRDefault="00ED4CEB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4 665,99</w:t>
            </w:r>
          </w:p>
        </w:tc>
        <w:tc>
          <w:tcPr>
            <w:tcW w:w="1643" w:type="dxa"/>
          </w:tcPr>
          <w:p w:rsidR="00276B18" w:rsidRPr="00276B18" w:rsidRDefault="00ED4CEB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49,8</w:t>
            </w: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Исполнение по разделу 0100 «Об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щегосударственные вопросы»  за 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2016 года исполнено на </w:t>
      </w:r>
      <w:proofErr w:type="gramStart"/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49,8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% т.е. при плане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9 374,03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расходы составили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4 665,99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2015 годом исполнение составило на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1 432,10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больше при плане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9 100,69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16EE3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10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21E419A9" wp14:editId="46B92D1B">
            <wp:simplePos x="0" y="0"/>
            <wp:positionH relativeFrom="column">
              <wp:posOffset>3429000</wp:posOffset>
            </wp:positionH>
            <wp:positionV relativeFrom="paragraph">
              <wp:posOffset>180340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644" y="15499"/>
                <wp:lineTo x="3438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1" name="Диаграмм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3E0B948C" wp14:editId="5D4EA403">
            <wp:simplePos x="0" y="0"/>
            <wp:positionH relativeFrom="column">
              <wp:posOffset>167005</wp:posOffset>
            </wp:positionH>
            <wp:positionV relativeFrom="paragraph">
              <wp:posOffset>4445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473" y="14840"/>
                <wp:lineTo x="3600" y="1780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2" name="Диаграмма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0203 «Мобилизационная и войсковая подготовка»</w:t>
      </w: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37,1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 при плане 101,00  тыс. рублей, фактически израсходовано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37,50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Осуществление полномочий по первичному воинскому учету (Целевые средства).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0400  «Национальная экономика»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Подраздел 0409 «Дорожное хозяйство». На ремонт дорог за счет акцизов запланировано  исполнение составило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 при плане 1 548 ,00  тыс. рублей, фактически израсходовано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773,62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2015 годом исполнение составило на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287,91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больше при плане 699,6  тыс. рублей. (Целевые средства).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16EE3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11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 wp14:anchorId="047C90BA" wp14:editId="39C8EBF7">
            <wp:simplePos x="0" y="0"/>
            <wp:positionH relativeFrom="column">
              <wp:posOffset>3268345</wp:posOffset>
            </wp:positionH>
            <wp:positionV relativeFrom="paragraph">
              <wp:posOffset>24765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6266"/>
                <wp:lineTo x="2093" y="8244"/>
                <wp:lineTo x="1644" y="9234"/>
                <wp:lineTo x="1495" y="13521"/>
                <wp:lineTo x="2242" y="13521"/>
                <wp:lineTo x="2093" y="16159"/>
                <wp:lineTo x="2990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9" name="Диаграмма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63552E" wp14:editId="2CC7B521">
            <wp:extent cx="2514600" cy="1247775"/>
            <wp:effectExtent l="0" t="0" r="0" b="0"/>
            <wp:docPr id="60" name="Диаграмма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0500 «Жилищно-Коммунальное хозяйство»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4,8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при плане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680,33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фактически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32,38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в т. ч. эл. энергия на уличное освещение  план 170,0 тыс. рублей. В сравнении с 2015 годом исполнение составило на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11,1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меньше при плане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620,30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рублей.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</w:t>
      </w:r>
    </w:p>
    <w:p w:rsid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3710A52D" wp14:editId="149D7017">
            <wp:simplePos x="0" y="0"/>
            <wp:positionH relativeFrom="column">
              <wp:posOffset>-5715</wp:posOffset>
            </wp:positionH>
            <wp:positionV relativeFrom="paragraph">
              <wp:posOffset>243205</wp:posOffset>
            </wp:positionV>
            <wp:extent cx="2514600" cy="1247775"/>
            <wp:effectExtent l="0" t="0" r="0" b="0"/>
            <wp:wrapThrough wrapText="bothSides">
              <wp:wrapPolygon edited="0">
                <wp:start x="1473" y="1979"/>
                <wp:lineTo x="1473" y="15829"/>
                <wp:lineTo x="2782" y="17808"/>
                <wp:lineTo x="4418" y="18467"/>
                <wp:lineTo x="15873" y="18467"/>
                <wp:lineTo x="16200" y="17808"/>
                <wp:lineTo x="21436" y="13521"/>
                <wp:lineTo x="21436" y="8574"/>
                <wp:lineTo x="21109" y="8244"/>
                <wp:lineTo x="17345" y="7915"/>
                <wp:lineTo x="17673" y="2968"/>
                <wp:lineTo x="16364" y="2638"/>
                <wp:lineTo x="3600" y="1979"/>
                <wp:lineTo x="1473" y="1979"/>
              </wp:wrapPolygon>
            </wp:wrapThrough>
            <wp:docPr id="58" name="Диаграмма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16EE3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12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52725" cy="1247775"/>
            <wp:effectExtent l="0" t="0" r="0" b="0"/>
            <wp:docPr id="57" name="Диаграмма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0800 «Культура»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>44,7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при плане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>3 933,61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произведено расходов на сумму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>1758,06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на оплату труда с начислениями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>1 305,73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из них  на заработную плату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>939,48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   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16EE3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13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331D70FB" wp14:editId="0B84103F">
            <wp:simplePos x="0" y="0"/>
            <wp:positionH relativeFrom="column">
              <wp:posOffset>228600</wp:posOffset>
            </wp:positionH>
            <wp:positionV relativeFrom="paragraph">
              <wp:posOffset>119380</wp:posOffset>
            </wp:positionV>
            <wp:extent cx="2514600" cy="1247775"/>
            <wp:effectExtent l="0" t="0" r="0" b="0"/>
            <wp:wrapThrough wrapText="bothSides">
              <wp:wrapPolygon edited="0">
                <wp:start x="1309" y="1979"/>
                <wp:lineTo x="1145" y="6266"/>
                <wp:lineTo x="1964" y="7915"/>
                <wp:lineTo x="1309" y="9893"/>
                <wp:lineTo x="1309" y="14840"/>
                <wp:lineTo x="3436" y="17808"/>
                <wp:lineTo x="4745" y="18467"/>
                <wp:lineTo x="16200" y="18467"/>
                <wp:lineTo x="16527" y="17808"/>
                <wp:lineTo x="21436" y="13521"/>
                <wp:lineTo x="21436" y="8574"/>
                <wp:lineTo x="21109" y="8244"/>
                <wp:lineTo x="17673" y="7915"/>
                <wp:lineTo x="18000" y="2968"/>
                <wp:lineTo x="16691" y="2638"/>
                <wp:lineTo x="3927" y="1979"/>
                <wp:lineTo x="1309" y="1979"/>
              </wp:wrapPolygon>
            </wp:wrapThrough>
            <wp:docPr id="56" name="Диаграмма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3F895EF2" wp14:editId="140C336C">
            <wp:simplePos x="0" y="0"/>
            <wp:positionH relativeFrom="column">
              <wp:posOffset>3392170</wp:posOffset>
            </wp:positionH>
            <wp:positionV relativeFrom="paragraph">
              <wp:posOffset>82550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16489"/>
                <wp:lineTo x="2392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0100 «Социальная политика»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>33,0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при плане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149,56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произведено расходов на сумму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>49,41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2015 году по данному разделу расходы не производились.</w:t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подразделу 1301 «Обслуживание муниципального долга»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>28,5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при плане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>113,24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расходы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составили 32,23 тыс. руб.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2015 году по данному разделу расходы составили 5,0 тыс. рублей при плане 67,5 тыс. рублей.</w:t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подразделу 1403 «Иные межбюджетные трансферты»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По мероприятиям по данному подразделу  в 2016 году утверждены бюджетные ассигнования в сумме 215,78 тыс. руб. с учетом кредиторской задолженности за 2015 год в сумме 137,23 тыс. рублей,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</w:t>
      </w:r>
      <w:r w:rsidR="005E6E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составили 66,45 тыс. руб.</w:t>
      </w:r>
    </w:p>
    <w:p w:rsidR="005E6E83" w:rsidRDefault="005E6E83" w:rsidP="005E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E8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Источники: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Погашение кредитов от других бюджетов бюджетной системы во 2 квартале 2016 года исполнено в сумме  578,33  тыс. рублей</w:t>
      </w:r>
    </w:p>
    <w:p w:rsidR="005E6E83" w:rsidRDefault="005E6E83" w:rsidP="005E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5E6E83" w:rsidRPr="00CA6EEF" w:rsidRDefault="005E6E83" w:rsidP="005E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Остаток денежных средств на 01 июля 2016 года 599,02 тыс. рублей.</w:t>
      </w:r>
    </w:p>
    <w:p w:rsidR="005E6E83" w:rsidRPr="00CA6EEF" w:rsidRDefault="005E6E83" w:rsidP="005E6E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E83" w:rsidRDefault="005E6E83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3995" w:rsidRDefault="000F3995">
      <w:bookmarkStart w:id="0" w:name="_GoBack"/>
      <w:bookmarkEnd w:id="0"/>
    </w:p>
    <w:sectPr w:rsidR="000F3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D221E"/>
    <w:rsid w:val="000F3995"/>
    <w:rsid w:val="0010475F"/>
    <w:rsid w:val="00181258"/>
    <w:rsid w:val="0019433A"/>
    <w:rsid w:val="001F1429"/>
    <w:rsid w:val="002155D2"/>
    <w:rsid w:val="00276B18"/>
    <w:rsid w:val="002854F5"/>
    <w:rsid w:val="002A1456"/>
    <w:rsid w:val="002B6076"/>
    <w:rsid w:val="002E4E82"/>
    <w:rsid w:val="00316EE3"/>
    <w:rsid w:val="0032439F"/>
    <w:rsid w:val="00373689"/>
    <w:rsid w:val="00456765"/>
    <w:rsid w:val="004E4F9C"/>
    <w:rsid w:val="00517CFF"/>
    <w:rsid w:val="00562970"/>
    <w:rsid w:val="00574FD4"/>
    <w:rsid w:val="005C176C"/>
    <w:rsid w:val="005D25EB"/>
    <w:rsid w:val="005E6E83"/>
    <w:rsid w:val="005F0EB3"/>
    <w:rsid w:val="00611B93"/>
    <w:rsid w:val="00612DFE"/>
    <w:rsid w:val="00670063"/>
    <w:rsid w:val="006D2363"/>
    <w:rsid w:val="006D2887"/>
    <w:rsid w:val="007158CE"/>
    <w:rsid w:val="0074508E"/>
    <w:rsid w:val="00767C53"/>
    <w:rsid w:val="0077239A"/>
    <w:rsid w:val="00851A66"/>
    <w:rsid w:val="0089728F"/>
    <w:rsid w:val="009E18C0"/>
    <w:rsid w:val="009E73E7"/>
    <w:rsid w:val="00A22F49"/>
    <w:rsid w:val="00A448ED"/>
    <w:rsid w:val="00A7137F"/>
    <w:rsid w:val="00A8203C"/>
    <w:rsid w:val="00AA68FE"/>
    <w:rsid w:val="00AF58B5"/>
    <w:rsid w:val="00AF6700"/>
    <w:rsid w:val="00B56D02"/>
    <w:rsid w:val="00B70FC1"/>
    <w:rsid w:val="00BA32BA"/>
    <w:rsid w:val="00C31030"/>
    <w:rsid w:val="00C9693A"/>
    <w:rsid w:val="00CA397F"/>
    <w:rsid w:val="00CA6EEF"/>
    <w:rsid w:val="00CD31DB"/>
    <w:rsid w:val="00CD5A15"/>
    <w:rsid w:val="00D41006"/>
    <w:rsid w:val="00E02036"/>
    <w:rsid w:val="00E04B87"/>
    <w:rsid w:val="00E6286D"/>
    <w:rsid w:val="00E96A34"/>
    <w:rsid w:val="00ED41D1"/>
    <w:rsid w:val="00ED4CEB"/>
    <w:rsid w:val="00ED75CC"/>
    <w:rsid w:val="00EE4EAE"/>
    <w:rsid w:val="00F7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26" Type="http://schemas.openxmlformats.org/officeDocument/2006/relationships/chart" Target="charts/chart21.xml"/><Relationship Id="rId3" Type="http://schemas.microsoft.com/office/2007/relationships/stylesWithEffects" Target="stylesWithEffects.xml"/><Relationship Id="rId21" Type="http://schemas.openxmlformats.org/officeDocument/2006/relationships/chart" Target="charts/chart16.xml"/><Relationship Id="rId34" Type="http://schemas.openxmlformats.org/officeDocument/2006/relationships/theme" Target="theme/theme1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5" Type="http://schemas.openxmlformats.org/officeDocument/2006/relationships/chart" Target="charts/chart20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11.xml"/><Relationship Id="rId20" Type="http://schemas.openxmlformats.org/officeDocument/2006/relationships/chart" Target="charts/chart15.xml"/><Relationship Id="rId29" Type="http://schemas.openxmlformats.org/officeDocument/2006/relationships/chart" Target="charts/chart24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chart" Target="charts/chart19.xml"/><Relationship Id="rId32" Type="http://schemas.openxmlformats.org/officeDocument/2006/relationships/chart" Target="charts/chart27.xml"/><Relationship Id="rId5" Type="http://schemas.openxmlformats.org/officeDocument/2006/relationships/webSettings" Target="webSettings.xml"/><Relationship Id="rId15" Type="http://schemas.openxmlformats.org/officeDocument/2006/relationships/chart" Target="charts/chart10.xml"/><Relationship Id="rId23" Type="http://schemas.openxmlformats.org/officeDocument/2006/relationships/chart" Target="charts/chart18.xml"/><Relationship Id="rId28" Type="http://schemas.openxmlformats.org/officeDocument/2006/relationships/chart" Target="charts/chart23.xml"/><Relationship Id="rId10" Type="http://schemas.openxmlformats.org/officeDocument/2006/relationships/chart" Target="charts/chart5.xml"/><Relationship Id="rId19" Type="http://schemas.openxmlformats.org/officeDocument/2006/relationships/chart" Target="charts/chart14.xml"/><Relationship Id="rId31" Type="http://schemas.openxmlformats.org/officeDocument/2006/relationships/chart" Target="charts/chart26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Relationship Id="rId22" Type="http://schemas.openxmlformats.org/officeDocument/2006/relationships/chart" Target="charts/chart17.xml"/><Relationship Id="rId27" Type="http://schemas.openxmlformats.org/officeDocument/2006/relationships/chart" Target="charts/chart22.xml"/><Relationship Id="rId30" Type="http://schemas.openxmlformats.org/officeDocument/2006/relationships/chart" Target="charts/chart2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34196891191708"/>
          <c:y val="0.11904761904761904"/>
          <c:w val="0.53367875647668395"/>
          <c:h val="0.66666666666666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#,##0.00</c:formatCode>
                <c:ptCount val="4"/>
                <c:pt idx="0">
                  <c:v>10800.9</c:v>
                </c:pt>
                <c:pt idx="1">
                  <c:v>13252.82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#,##0.00</c:formatCode>
                <c:ptCount val="4"/>
                <c:pt idx="0">
                  <c:v>10472.42</c:v>
                </c:pt>
                <c:pt idx="1">
                  <c:v>15309.36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404864"/>
        <c:axId val="144406400"/>
        <c:axId val="0"/>
      </c:bar3DChart>
      <c:catAx>
        <c:axId val="1444048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4064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406400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404864"/>
        <c:crosses val="autoZero"/>
        <c:crossBetween val="between"/>
      </c:valAx>
      <c:spPr>
        <a:noFill/>
        <a:ln w="25274">
          <a:noFill/>
        </a:ln>
      </c:spPr>
    </c:plotArea>
    <c:legend>
      <c:legendPos val="r"/>
      <c:layout>
        <c:manualLayout>
          <c:xMode val="edge"/>
          <c:yMode val="edge"/>
          <c:x val="0.82901554404145072"/>
          <c:y val="0.40476190476190477"/>
          <c:w val="0.15025906735751296"/>
          <c:h val="0.1984126984126984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03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428571428571427"/>
          <c:y val="0.125"/>
          <c:w val="0.54591836734693877"/>
          <c:h val="0.6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2722.6</c:v>
                </c:pt>
                <c:pt idx="1">
                  <c:v>5991.78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4348.3500000000004</c:v>
                </c:pt>
                <c:pt idx="1">
                  <c:v>8417.42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390784"/>
        <c:axId val="144773504"/>
        <c:axId val="0"/>
      </c:bar3DChart>
      <c:catAx>
        <c:axId val="1443907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7735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773504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390784"/>
        <c:crosses val="autoZero"/>
        <c:crossBetween val="between"/>
      </c:valAx>
      <c:spPr>
        <a:noFill/>
        <a:ln w="25275">
          <a:noFill/>
        </a:ln>
      </c:spPr>
    </c:plotArea>
    <c:legend>
      <c:legendPos val="r"/>
      <c:layout>
        <c:manualLayout>
          <c:xMode val="edge"/>
          <c:yMode val="edge"/>
          <c:x val="0.81632653061224492"/>
          <c:y val="0.3671875"/>
          <c:w val="0.16326530612244897"/>
          <c:h val="0.2734375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2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72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25</c:v>
                </c:pt>
                <c:pt idx="1">
                  <c:v>45.2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41.5</c:v>
                </c:pt>
                <c:pt idx="1">
                  <c:v>55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831616"/>
        <c:axId val="144833152"/>
        <c:axId val="0"/>
      </c:bar3DChart>
      <c:catAx>
        <c:axId val="1448316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8331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83315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83161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925.4</c:v>
                </c:pt>
                <c:pt idx="1">
                  <c:v>925.4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934.4</c:v>
                </c:pt>
                <c:pt idx="1">
                  <c:v>934.4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3733632"/>
        <c:axId val="183739520"/>
        <c:axId val="0"/>
      </c:bar3DChart>
      <c:catAx>
        <c:axId val="1837336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37395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3739520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3733632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138.5</c:v>
                </c:pt>
                <c:pt idx="1">
                  <c:v>398.16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245.7</c:v>
                </c:pt>
                <c:pt idx="1">
                  <c:v>540.02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3752576"/>
        <c:axId val="183754112"/>
        <c:axId val="0"/>
      </c:bar3DChart>
      <c:catAx>
        <c:axId val="1837525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37541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3754112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3752576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699.6</c:v>
                </c:pt>
                <c:pt idx="1">
                  <c:v>699.6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1444.43</c:v>
                </c:pt>
                <c:pt idx="1">
                  <c:v>1444.43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4292096"/>
        <c:axId val="184293632"/>
        <c:axId val="0"/>
      </c:bar3DChart>
      <c:catAx>
        <c:axId val="184292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2936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42936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29209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309</c:v>
                </c:pt>
                <c:pt idx="1">
                  <c:v>539.44000000000005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362.03</c:v>
                </c:pt>
                <c:pt idx="1">
                  <c:v>838.84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4327168"/>
        <c:axId val="184333056"/>
        <c:axId val="0"/>
      </c:bar3DChart>
      <c:catAx>
        <c:axId val="184327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3330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43330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32716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269</c:v>
                </c:pt>
                <c:pt idx="1">
                  <c:v>269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292</c:v>
                </c:pt>
                <c:pt idx="1">
                  <c:v>292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4350208"/>
        <c:axId val="184351744"/>
        <c:axId val="0"/>
      </c:bar3DChart>
      <c:catAx>
        <c:axId val="184350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3517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4351744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350208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</c:v>
                </c:pt>
                <c:pt idx="1">
                  <c:v>33.130000000000003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7.31</c:v>
                </c:pt>
                <c:pt idx="1">
                  <c:v>27.37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4029184"/>
        <c:axId val="184030720"/>
        <c:axId val="0"/>
      </c:bar3DChart>
      <c:catAx>
        <c:axId val="184029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0307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40307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02918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3161</c:v>
                </c:pt>
                <c:pt idx="1">
                  <c:v>3161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#,##0.00</c:formatCode>
                <c:ptCount val="4"/>
                <c:pt idx="0">
                  <c:v>2999.3</c:v>
                </c:pt>
                <c:pt idx="1">
                  <c:v>3308.05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4076928"/>
        <c:axId val="184078720"/>
        <c:axId val="0"/>
      </c:bar3DChart>
      <c:catAx>
        <c:axId val="1840769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0787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40787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07692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439.4</c:v>
                </c:pt>
                <c:pt idx="1">
                  <c:v>1083.5999999999999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902.83</c:v>
                </c:pt>
                <c:pt idx="1">
                  <c:v>1906.97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4206464"/>
        <c:axId val="184208000"/>
        <c:axId val="0"/>
      </c:bar3DChart>
      <c:catAx>
        <c:axId val="1842064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2080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420800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20646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274.89999999999998</c:v>
                </c:pt>
                <c:pt idx="1">
                  <c:v>274.89999999999998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236.24</c:v>
                </c:pt>
                <c:pt idx="1">
                  <c:v>236.24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4241536"/>
        <c:axId val="184243328"/>
        <c:axId val="0"/>
      </c:bar3DChart>
      <c:catAx>
        <c:axId val="1842415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2433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424332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24153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</c:v>
                </c:pt>
                <c:pt idx="1">
                  <c:v>95.53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66.67</c:v>
                </c:pt>
                <c:pt idx="1">
                  <c:v>113.27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4272768"/>
        <c:axId val="184274304"/>
        <c:axId val="0"/>
      </c:bar3DChart>
      <c:catAx>
        <c:axId val="184272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2743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427430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27276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121</c:v>
                </c:pt>
                <c:pt idx="1">
                  <c:v>127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121</c:v>
                </c:pt>
                <c:pt idx="1">
                  <c:v>121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4480128"/>
        <c:axId val="184481664"/>
        <c:axId val="0"/>
      </c:bar3DChart>
      <c:catAx>
        <c:axId val="184480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4816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44816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48012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</c:v>
                </c:pt>
                <c:pt idx="1">
                  <c:v>38.49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31.97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4507008"/>
        <c:axId val="184512896"/>
        <c:axId val="0"/>
      </c:bar3DChart>
      <c:catAx>
        <c:axId val="1845070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5128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451289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50700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78853046594982"/>
          <c:y val="9.8837209302325577E-2"/>
          <c:w val="0.40143369175627241"/>
          <c:h val="0.7209302325581394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 дотация</c:v>
                </c:pt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342.2</c:v>
                </c:pt>
                <c:pt idx="1">
                  <c:v>342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дотация</c:v>
                </c:pt>
              </c:strCache>
            </c:strRef>
          </c:tx>
          <c:spPr>
            <a:solidFill>
              <a:srgbClr val="99336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700.25</c:v>
                </c:pt>
                <c:pt idx="1">
                  <c:v>700.25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 субвенция</c:v>
                </c:pt>
              </c:strCache>
            </c:strRef>
          </c:tx>
          <c:spPr>
            <a:solidFill>
              <a:srgbClr val="FFFFCC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23</c:v>
                </c:pt>
                <c:pt idx="1">
                  <c:v>53.16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субвенция</c:v>
                </c:pt>
              </c:strCache>
            </c:strRef>
          </c:tx>
          <c:spPr>
            <a:solidFill>
              <a:srgbClr val="CC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21.46</c:v>
                </c:pt>
                <c:pt idx="1">
                  <c:v>52.74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2015 субсидия</c:v>
                </c:pt>
              </c:strCache>
            </c:strRef>
          </c:tx>
          <c:spPr>
            <a:solidFill>
              <a:srgbClr val="66006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1459.4</c:v>
                </c:pt>
                <c:pt idx="1">
                  <c:v>3380.95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2016 субсидия </c:v>
                </c:pt>
              </c:strCache>
            </c:strRef>
          </c:tx>
          <c:spPr>
            <a:solidFill>
              <a:srgbClr val="FF808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2035</c:v>
                </c:pt>
                <c:pt idx="1">
                  <c:v>3376.4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4521088"/>
        <c:axId val="184522624"/>
        <c:axId val="0"/>
      </c:bar3DChart>
      <c:catAx>
        <c:axId val="184521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5226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452262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521088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323529411764705"/>
          <c:y val="0.10179640718562874"/>
          <c:w val="0.39705882352941174"/>
          <c:h val="0.7502397793496151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 дотация </c:v>
                </c:pt>
              </c:strCache>
            </c:strRef>
          </c:tx>
          <c:spPr>
            <a:solidFill>
              <a:srgbClr val="9999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342.2</c:v>
                </c:pt>
                <c:pt idx="1">
                  <c:v>342.2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дотация</c:v>
                </c:pt>
              </c:strCache>
            </c:strRef>
          </c:tx>
          <c:spPr>
            <a:solidFill>
              <a:srgbClr val="9933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700.25</c:v>
                </c:pt>
                <c:pt idx="1">
                  <c:v>726.23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 субвенция</c:v>
                </c:pt>
              </c:strCache>
            </c:strRef>
          </c:tx>
          <c:spPr>
            <a:solidFill>
              <a:srgbClr val="FFFFCC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124.9</c:v>
                </c:pt>
                <c:pt idx="1">
                  <c:v>0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субвенция </c:v>
                </c:pt>
              </c:strCache>
            </c:strRef>
          </c:tx>
          <c:spPr>
            <a:solidFill>
              <a:srgbClr val="CCFF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134</c:v>
                </c:pt>
                <c:pt idx="1">
                  <c:v>134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2015 субсидия</c:v>
                </c:pt>
              </c:strCache>
            </c:strRef>
          </c:tx>
          <c:spPr>
            <a:solidFill>
              <a:srgbClr val="6600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5389.9</c:v>
                </c:pt>
                <c:pt idx="1">
                  <c:v>7298.2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2016 субсидия</c:v>
                </c:pt>
              </c:strCache>
            </c:strRef>
          </c:tx>
          <c:spPr>
            <a:solidFill>
              <a:srgbClr val="FF808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3559.8</c:v>
                </c:pt>
                <c:pt idx="1">
                  <c:v>5708.3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3928320"/>
        <c:axId val="183929856"/>
        <c:axId val="0"/>
      </c:bar3DChart>
      <c:catAx>
        <c:axId val="1839283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39298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3929856"/>
        <c:scaling>
          <c:orientation val="minMax"/>
        </c:scaling>
        <c:delete val="0"/>
        <c:axPos val="l"/>
        <c:majorGridlines>
          <c:spPr>
            <a:ln w="3164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3928320"/>
        <c:crosses val="autoZero"/>
        <c:crossBetween val="between"/>
      </c:valAx>
      <c:spPr>
        <a:noFill/>
        <a:ln w="25311">
          <a:noFill/>
        </a:ln>
      </c:spPr>
    </c:plotArea>
    <c:legend>
      <c:legendPos val="r"/>
      <c:layout>
        <c:manualLayout>
          <c:xMode val="edge"/>
          <c:yMode val="edge"/>
          <c:x val="0.60155287065935015"/>
          <c:y val="3.128668238504085E-2"/>
          <c:w val="0.35112857273049164"/>
          <c:h val="0.82361670892833294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12882</c:v>
                </c:pt>
                <c:pt idx="1">
                  <c:v>14348.89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11235.44</c:v>
                </c:pt>
                <c:pt idx="1">
                  <c:v>16115.55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4946688"/>
        <c:axId val="184948224"/>
        <c:axId val="0"/>
      </c:bar3DChart>
      <c:catAx>
        <c:axId val="1849466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9482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494822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94668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2386.3000000000002</c:v>
                </c:pt>
                <c:pt idx="1">
                  <c:v>5541.07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3636.56</c:v>
                </c:pt>
                <c:pt idx="1">
                  <c:v>7415.64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5006336"/>
        <c:axId val="229556224"/>
        <c:axId val="0"/>
      </c:bar3DChart>
      <c:catAx>
        <c:axId val="185006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295562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955622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500633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1512.8</c:v>
                </c:pt>
                <c:pt idx="1">
                  <c:v>3233.89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2354.79</c:v>
                </c:pt>
                <c:pt idx="1">
                  <c:v>4665.99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5041664"/>
        <c:axId val="185043200"/>
        <c:axId val="0"/>
      </c:bar3DChart>
      <c:catAx>
        <c:axId val="1850416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50432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504320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5041664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8259.5</c:v>
                </c:pt>
                <c:pt idx="1">
                  <c:v>9100.69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6127.53</c:v>
                </c:pt>
                <c:pt idx="1">
                  <c:v>9374.0300000000007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5068544"/>
        <c:axId val="228328192"/>
        <c:axId val="0"/>
      </c:bar3DChart>
      <c:catAx>
        <c:axId val="1850685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283281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83281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506854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485.71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386.81</c:v>
                </c:pt>
                <c:pt idx="1">
                  <c:v>773.62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28390400"/>
        <c:axId val="228391936"/>
        <c:axId val="0"/>
      </c:bar3DChart>
      <c:catAx>
        <c:axId val="2283904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283919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83919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2839040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699.6</c:v>
                </c:pt>
                <c:pt idx="1">
                  <c:v>699.6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1548</c:v>
                </c:pt>
                <c:pt idx="1">
                  <c:v>1548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29683200"/>
        <c:axId val="229684736"/>
        <c:axId val="0"/>
      </c:bar3DChart>
      <c:catAx>
        <c:axId val="2296832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296847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96847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29683200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173228346456693"/>
          <c:y val="0.10743801652892562"/>
          <c:w val="0.68503937007874016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100</c:v>
                </c:pt>
                <c:pt idx="1">
                  <c:v>620.29999999999995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230</c:v>
                </c:pt>
                <c:pt idx="1">
                  <c:v>680.33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1271424"/>
        <c:axId val="251277312"/>
        <c:axId val="0"/>
      </c:bar3DChart>
      <c:catAx>
        <c:axId val="2512714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2773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12773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27142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469534050179211"/>
          <c:y val="0.10743801652892562"/>
          <c:w val="0.72759856630824371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16.600000000000001</c:v>
                </c:pt>
                <c:pt idx="1">
                  <c:v>43.48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32.380000000000003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1335424"/>
        <c:axId val="251336960"/>
        <c:axId val="0"/>
      </c:bar3DChart>
      <c:catAx>
        <c:axId val="2513354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3369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133696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335424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3540.6</c:v>
                </c:pt>
                <c:pt idx="1">
                  <c:v>3640.03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2819.6</c:v>
                </c:pt>
                <c:pt idx="1">
                  <c:v>3933.61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1288576"/>
        <c:axId val="251388672"/>
        <c:axId val="0"/>
      </c:bar3DChart>
      <c:catAx>
        <c:axId val="2512885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3886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13886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28857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836.8</c:v>
                </c:pt>
                <c:pt idx="1">
                  <c:v>1741.62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860.2</c:v>
                </c:pt>
                <c:pt idx="1">
                  <c:v>1758.06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1446784"/>
        <c:axId val="251448320"/>
        <c:axId val="0"/>
      </c:bar3DChart>
      <c:catAx>
        <c:axId val="2514467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4483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14483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446784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2469</Words>
  <Characters>14076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33</cp:revision>
  <cp:lastPrinted>2016-07-29T06:03:00Z</cp:lastPrinted>
  <dcterms:created xsi:type="dcterms:W3CDTF">2014-04-21T02:40:00Z</dcterms:created>
  <dcterms:modified xsi:type="dcterms:W3CDTF">2016-08-01T08:24:00Z</dcterms:modified>
</cp:coreProperties>
</file>